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Layout w:type="fixed"/>
        <w:tblLook w:val="0000" w:firstRow="0" w:lastRow="0" w:firstColumn="0" w:lastColumn="0" w:noHBand="0" w:noVBand="0"/>
      </w:tblPr>
      <w:tblGrid>
        <w:gridCol w:w="959"/>
        <w:gridCol w:w="4111"/>
        <w:gridCol w:w="4110"/>
      </w:tblGrid>
      <w:tr w:rsidR="004E7F7D" w14:paraId="39C73F12" w14:textId="77777777" w:rsidTr="007B1BBC">
        <w:trPr>
          <w:trHeight w:val="1135"/>
        </w:trPr>
        <w:tc>
          <w:tcPr>
            <w:tcW w:w="959" w:type="dxa"/>
          </w:tcPr>
          <w:p w14:paraId="1D1A7F85" w14:textId="77777777" w:rsidR="004E7F7D" w:rsidRDefault="00C84478">
            <w:pPr>
              <w:rPr>
                <w:sz w:val="24"/>
              </w:rPr>
            </w:pPr>
            <w:r>
              <w:rPr>
                <w:smallCaps/>
                <w:noProof/>
                <w:sz w:val="28"/>
                <w:szCs w:val="32"/>
                <w:lang w:eastAsia="hr-HR"/>
              </w:rPr>
              <w:drawing>
                <wp:inline distT="0" distB="0" distL="0" distR="0" wp14:anchorId="4B8C07C7" wp14:editId="56133AF4">
                  <wp:extent cx="437515" cy="580390"/>
                  <wp:effectExtent l="0" t="0" r="635" b="0"/>
                  <wp:docPr id="8" name="Picture 1" descr="grb_republike_hrvat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republike_hrvatsk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515" cy="580390"/>
                          </a:xfrm>
                          <a:prstGeom prst="rect">
                            <a:avLst/>
                          </a:prstGeom>
                          <a:noFill/>
                          <a:ln>
                            <a:noFill/>
                          </a:ln>
                        </pic:spPr>
                      </pic:pic>
                    </a:graphicData>
                  </a:graphic>
                </wp:inline>
              </w:drawing>
            </w:r>
          </w:p>
        </w:tc>
        <w:tc>
          <w:tcPr>
            <w:tcW w:w="8221" w:type="dxa"/>
            <w:gridSpan w:val="2"/>
          </w:tcPr>
          <w:p w14:paraId="1C9AC026" w14:textId="77777777" w:rsidR="004E7F7D" w:rsidRPr="00C84478" w:rsidRDefault="00C84478" w:rsidP="00C84478">
            <w:pPr>
              <w:spacing w:before="180"/>
              <w:rPr>
                <w:rFonts w:ascii="Garamond" w:hAnsi="Garamond"/>
                <w:b/>
                <w:smallCaps/>
                <w:sz w:val="28"/>
              </w:rPr>
            </w:pPr>
            <w:r w:rsidRPr="00C84478">
              <w:rPr>
                <w:rFonts w:ascii="Garamond" w:hAnsi="Garamond"/>
                <w:b/>
                <w:smallCaps/>
                <w:sz w:val="28"/>
              </w:rPr>
              <w:t>Vlada Republike Hrvatske</w:t>
            </w:r>
          </w:p>
          <w:p w14:paraId="77CA396F" w14:textId="77777777" w:rsidR="004E7F7D" w:rsidRPr="00C84478" w:rsidRDefault="00C84478">
            <w:pPr>
              <w:rPr>
                <w:rFonts w:ascii="Garamond" w:hAnsi="Garamond"/>
                <w:b/>
                <w:smallCaps/>
                <w:sz w:val="22"/>
              </w:rPr>
            </w:pPr>
            <w:r w:rsidRPr="00C84478">
              <w:rPr>
                <w:rFonts w:ascii="Garamond" w:hAnsi="Garamond"/>
                <w:b/>
                <w:smallCaps/>
                <w:sz w:val="22"/>
              </w:rPr>
              <w:t>Ured predsjednika Vlade</w:t>
            </w:r>
          </w:p>
          <w:p w14:paraId="240A4A0B" w14:textId="77777777" w:rsidR="004E7F7D" w:rsidRPr="009B533D" w:rsidRDefault="004E7F7D" w:rsidP="009B533D">
            <w:pPr>
              <w:rPr>
                <w:rFonts w:ascii="Garamond" w:hAnsi="Garamond"/>
                <w:b/>
              </w:rPr>
            </w:pPr>
            <w:r w:rsidRPr="004E7F7D">
              <w:rPr>
                <w:rFonts w:ascii="Garamond" w:hAnsi="Garamond"/>
                <w:b/>
                <w:sz w:val="22"/>
              </w:rPr>
              <w:t>Služba za odnose s javnošću</w:t>
            </w:r>
          </w:p>
        </w:tc>
      </w:tr>
      <w:tr w:rsidR="009B533D" w14:paraId="474DAA05" w14:textId="77777777" w:rsidTr="007B1BBC">
        <w:trPr>
          <w:trHeight w:val="632"/>
        </w:trPr>
        <w:tc>
          <w:tcPr>
            <w:tcW w:w="5070" w:type="dxa"/>
            <w:gridSpan w:val="2"/>
          </w:tcPr>
          <w:p w14:paraId="2BCB5C6C" w14:textId="77777777" w:rsidR="004E7F7D" w:rsidRPr="004E7F7D" w:rsidRDefault="004E7F7D" w:rsidP="004E7F7D">
            <w:pPr>
              <w:rPr>
                <w:rFonts w:ascii="Garamond" w:hAnsi="Garamond"/>
              </w:rPr>
            </w:pPr>
          </w:p>
          <w:p w14:paraId="33A56EA1" w14:textId="77777777" w:rsidR="004E7F7D" w:rsidRPr="00C84478" w:rsidRDefault="004E7F7D" w:rsidP="004E7F7D">
            <w:pPr>
              <w:rPr>
                <w:sz w:val="22"/>
              </w:rPr>
            </w:pPr>
            <w:r w:rsidRPr="00C84478">
              <w:rPr>
                <w:rFonts w:ascii="Garamond" w:hAnsi="Garamond"/>
                <w:sz w:val="22"/>
              </w:rPr>
              <w:t xml:space="preserve">Zagreb, </w:t>
            </w:r>
            <w:r w:rsidR="00C205AA">
              <w:rPr>
                <w:rFonts w:ascii="Garamond" w:hAnsi="Garamond"/>
                <w:sz w:val="22"/>
              </w:rPr>
              <w:t>20</w:t>
            </w:r>
            <w:r w:rsidR="00537208">
              <w:rPr>
                <w:rFonts w:ascii="Garamond" w:hAnsi="Garamond"/>
                <w:sz w:val="22"/>
              </w:rPr>
              <w:t>. prosinca</w:t>
            </w:r>
            <w:r w:rsidR="0051562A">
              <w:rPr>
                <w:rFonts w:ascii="Garamond" w:hAnsi="Garamond"/>
                <w:sz w:val="22"/>
              </w:rPr>
              <w:t xml:space="preserve"> </w:t>
            </w:r>
            <w:r w:rsidR="009608D0">
              <w:rPr>
                <w:rFonts w:ascii="Garamond" w:hAnsi="Garamond"/>
                <w:sz w:val="22"/>
              </w:rPr>
              <w:t>2022</w:t>
            </w:r>
            <w:r w:rsidRPr="00C84478">
              <w:rPr>
                <w:rFonts w:ascii="Garamond" w:hAnsi="Garamond"/>
                <w:sz w:val="22"/>
              </w:rPr>
              <w:t xml:space="preserve">. </w:t>
            </w:r>
          </w:p>
          <w:p w14:paraId="6C91F6B2" w14:textId="77777777" w:rsidR="00C84478" w:rsidRDefault="00C84478" w:rsidP="00C84478"/>
          <w:p w14:paraId="36B1ED32" w14:textId="77777777" w:rsidR="00C84478" w:rsidRDefault="00C84478" w:rsidP="00C84478"/>
          <w:p w14:paraId="62E56B9B" w14:textId="77777777" w:rsidR="00C84478" w:rsidRPr="00C84478" w:rsidRDefault="00C84478" w:rsidP="00C84478"/>
        </w:tc>
        <w:tc>
          <w:tcPr>
            <w:tcW w:w="4110" w:type="dxa"/>
          </w:tcPr>
          <w:p w14:paraId="165E0E59" w14:textId="77777777" w:rsidR="009B533D" w:rsidRDefault="009B533D" w:rsidP="005A11AC">
            <w:pPr>
              <w:rPr>
                <w:sz w:val="24"/>
              </w:rPr>
            </w:pPr>
          </w:p>
          <w:p w14:paraId="31593B88" w14:textId="77777777" w:rsidR="009B533D" w:rsidRDefault="009B533D" w:rsidP="005A11AC">
            <w:pPr>
              <w:rPr>
                <w:rFonts w:ascii="Garamond" w:hAnsi="Garamond"/>
                <w:sz w:val="24"/>
              </w:rPr>
            </w:pPr>
          </w:p>
        </w:tc>
      </w:tr>
      <w:tr w:rsidR="004E7F7D" w:rsidRPr="001C32A8" w14:paraId="1DAD7DAB" w14:textId="77777777" w:rsidTr="00760069">
        <w:trPr>
          <w:trHeight w:val="632"/>
        </w:trPr>
        <w:tc>
          <w:tcPr>
            <w:tcW w:w="9180" w:type="dxa"/>
            <w:gridSpan w:val="3"/>
          </w:tcPr>
          <w:p w14:paraId="098064F3" w14:textId="77777777" w:rsidR="004E7F7D" w:rsidRPr="001C32A8" w:rsidRDefault="00C205AA" w:rsidP="00182838">
            <w:pPr>
              <w:pStyle w:val="Heading1"/>
              <w:jc w:val="center"/>
              <w:rPr>
                <w:b/>
                <w:sz w:val="28"/>
                <w:szCs w:val="28"/>
              </w:rPr>
            </w:pPr>
            <w:r w:rsidRPr="001C32A8">
              <w:rPr>
                <w:b/>
                <w:sz w:val="28"/>
                <w:szCs w:val="28"/>
              </w:rPr>
              <w:t>Zaključci XIV. sjednice Savjeta za Slavoniju, Baranju i Srijem</w:t>
            </w:r>
          </w:p>
        </w:tc>
      </w:tr>
    </w:tbl>
    <w:p w14:paraId="23BAD639" w14:textId="77777777" w:rsidR="00C205AA" w:rsidRPr="00C205AA" w:rsidRDefault="00C205AA" w:rsidP="00C205AA">
      <w:pPr>
        <w:spacing w:after="160" w:line="276" w:lineRule="auto"/>
        <w:jc w:val="both"/>
        <w:rPr>
          <w:rFonts w:eastAsia="Calibri"/>
          <w:bCs/>
          <w:sz w:val="24"/>
          <w:szCs w:val="24"/>
        </w:rPr>
      </w:pPr>
      <w:bookmarkStart w:id="0" w:name="_Hlk108523475"/>
      <w:r w:rsidRPr="00C205AA">
        <w:rPr>
          <w:rFonts w:eastAsia="Calibri"/>
          <w:bCs/>
          <w:sz w:val="24"/>
          <w:szCs w:val="24"/>
        </w:rPr>
        <w:t>Pod predsjedanjem predsjednika Vlade Andreja Plenkovića u Pitomači</w:t>
      </w:r>
      <w:r w:rsidRPr="001C32A8">
        <w:rPr>
          <w:rFonts w:eastAsia="Calibri"/>
          <w:bCs/>
          <w:sz w:val="24"/>
          <w:szCs w:val="24"/>
        </w:rPr>
        <w:t xml:space="preserve"> je</w:t>
      </w:r>
      <w:r w:rsidRPr="00C205AA">
        <w:rPr>
          <w:rFonts w:eastAsia="Calibri"/>
          <w:bCs/>
          <w:sz w:val="24"/>
          <w:szCs w:val="24"/>
        </w:rPr>
        <w:t>,</w:t>
      </w:r>
      <w:r w:rsidRPr="001C32A8">
        <w:rPr>
          <w:rFonts w:eastAsia="Calibri"/>
          <w:bCs/>
          <w:sz w:val="24"/>
          <w:szCs w:val="24"/>
        </w:rPr>
        <w:t xml:space="preserve"> 20. prosinca 2022., održana 14.</w:t>
      </w:r>
      <w:r w:rsidRPr="00C205AA">
        <w:rPr>
          <w:rFonts w:eastAsia="Calibri"/>
          <w:bCs/>
          <w:sz w:val="24"/>
          <w:szCs w:val="24"/>
        </w:rPr>
        <w:t xml:space="preserve"> sjednica Savjeta za Slavoniju, Baranju i Srijem. Domaćini ove sjednice Savjeta bili su Igor </w:t>
      </w:r>
      <w:proofErr w:type="spellStart"/>
      <w:r w:rsidRPr="00C205AA">
        <w:rPr>
          <w:rFonts w:eastAsia="Calibri"/>
          <w:bCs/>
          <w:sz w:val="24"/>
          <w:szCs w:val="24"/>
        </w:rPr>
        <w:t>Andrović</w:t>
      </w:r>
      <w:proofErr w:type="spellEnd"/>
      <w:r w:rsidRPr="00C205AA">
        <w:rPr>
          <w:rFonts w:eastAsia="Calibri"/>
          <w:bCs/>
          <w:sz w:val="24"/>
          <w:szCs w:val="24"/>
        </w:rPr>
        <w:t xml:space="preserve">, župan Virovitičko-podravske županije i Željko </w:t>
      </w:r>
      <w:proofErr w:type="spellStart"/>
      <w:r w:rsidRPr="00C205AA">
        <w:rPr>
          <w:rFonts w:eastAsia="Calibri"/>
          <w:bCs/>
          <w:sz w:val="24"/>
          <w:szCs w:val="24"/>
        </w:rPr>
        <w:t>Grgačić</w:t>
      </w:r>
      <w:proofErr w:type="spellEnd"/>
      <w:r w:rsidRPr="00C205AA">
        <w:rPr>
          <w:rFonts w:eastAsia="Calibri"/>
          <w:bCs/>
          <w:sz w:val="24"/>
          <w:szCs w:val="24"/>
        </w:rPr>
        <w:t xml:space="preserve">, načelnik Općine Pitomača. Na Sjednici su predstavljene informacije o mogućnostima ulaganja u novom Višegodišnjem financijskom okviru 2021. – 2027. na području Slavonije, Baranje i Srijema kroz Integrirani teritorijalni program i Plan industrijske tranzicije Panonske Hrvatske, informacije o provedbi projekata iz područja poljoprivrede i socijalne politike, informacije o novim mogućnostima u okviru Strateškog plana zajedničke poljoprivredne politike 2023. – 2027. te prilike za nova ulaganja iz Europskog socijalnog fonda plus i Nacionalnog plana oporavka i otpornosti. </w:t>
      </w:r>
    </w:p>
    <w:p w14:paraId="51B91F06" w14:textId="77777777" w:rsidR="001C32A8" w:rsidRDefault="001C32A8" w:rsidP="00C205AA">
      <w:pPr>
        <w:spacing w:after="160" w:line="276" w:lineRule="auto"/>
        <w:contextualSpacing/>
        <w:jc w:val="both"/>
        <w:rPr>
          <w:rFonts w:eastAsia="Calibri"/>
          <w:b/>
          <w:bCs/>
          <w:sz w:val="24"/>
          <w:szCs w:val="24"/>
        </w:rPr>
      </w:pPr>
      <w:bookmarkStart w:id="1" w:name="_Hlk108523521"/>
    </w:p>
    <w:p w14:paraId="45E80C9C" w14:textId="77777777" w:rsidR="00C205AA" w:rsidRPr="001C32A8" w:rsidRDefault="00C205AA" w:rsidP="00C205AA">
      <w:pPr>
        <w:spacing w:after="160" w:line="276" w:lineRule="auto"/>
        <w:contextualSpacing/>
        <w:jc w:val="both"/>
        <w:rPr>
          <w:rFonts w:eastAsia="Calibri"/>
          <w:b/>
          <w:bCs/>
          <w:sz w:val="24"/>
          <w:szCs w:val="24"/>
        </w:rPr>
      </w:pPr>
      <w:r w:rsidRPr="00C205AA">
        <w:rPr>
          <w:rFonts w:eastAsia="Calibri"/>
          <w:b/>
          <w:bCs/>
          <w:sz w:val="24"/>
          <w:szCs w:val="24"/>
        </w:rPr>
        <w:t>Mogućnosti ulaganja na području</w:t>
      </w:r>
      <w:bookmarkEnd w:id="0"/>
      <w:r w:rsidRPr="00C205AA">
        <w:rPr>
          <w:rFonts w:eastAsia="Calibri"/>
          <w:b/>
          <w:bCs/>
          <w:sz w:val="24"/>
          <w:szCs w:val="24"/>
        </w:rPr>
        <w:t xml:space="preserve"> Slavonije, Baranje i Srijema u 2021.-2027. financijskoj perspektivi</w:t>
      </w:r>
    </w:p>
    <w:p w14:paraId="723897EF" w14:textId="77777777" w:rsidR="001C32A8" w:rsidRDefault="001C32A8" w:rsidP="00C205AA">
      <w:pPr>
        <w:spacing w:after="160" w:line="276" w:lineRule="auto"/>
        <w:jc w:val="both"/>
        <w:rPr>
          <w:rFonts w:eastAsia="Calibri"/>
          <w:sz w:val="24"/>
          <w:szCs w:val="24"/>
        </w:rPr>
      </w:pPr>
    </w:p>
    <w:p w14:paraId="00298ECF" w14:textId="77777777" w:rsidR="00C205AA" w:rsidRPr="00C205AA" w:rsidRDefault="00C205AA" w:rsidP="00C205AA">
      <w:pPr>
        <w:spacing w:after="160" w:line="276" w:lineRule="auto"/>
        <w:jc w:val="both"/>
        <w:rPr>
          <w:rFonts w:eastAsia="Calibri"/>
          <w:sz w:val="24"/>
          <w:szCs w:val="24"/>
        </w:rPr>
      </w:pPr>
      <w:r w:rsidRPr="00C205AA">
        <w:rPr>
          <w:rFonts w:eastAsia="Calibri"/>
          <w:sz w:val="24"/>
          <w:szCs w:val="24"/>
        </w:rPr>
        <w:t xml:space="preserve">Kohezijskom politikom nastoje se smanjiti razlike između razvijenih i nerazvijenih dijelova Europske unije sukladno Hrvatska je kreirala novi Integrirani teritorijalni program. Program je odobren početkom prosinca, a </w:t>
      </w:r>
      <w:r w:rsidRPr="001C32A8">
        <w:rPr>
          <w:rFonts w:eastAsia="Calibri"/>
          <w:sz w:val="24"/>
          <w:szCs w:val="24"/>
        </w:rPr>
        <w:t>njegovom</w:t>
      </w:r>
      <w:r w:rsidRPr="00C205AA">
        <w:rPr>
          <w:rFonts w:eastAsia="Calibri"/>
          <w:sz w:val="24"/>
          <w:szCs w:val="24"/>
        </w:rPr>
        <w:t xml:space="preserve"> realizacijom će se regije razvijati intenzivnijim povezivanjem urbanih i ruralnih područja te podrškom procesu industrijske tranzicije. U okviru Integriranog teritorijalnog programa na raspolaganju je 1,57 milijardi eura iz Europskog fonda za regionalni razvoj te Fonda za pravednu tranziciju. Savjet podržava provedbu Industrijske tranzicije Panonske Hrvatske vrijedne preko 200 milijuna eura kojom će se dodatno ojačati konkurentnost regionalnog gospodarstva putem ciljanih ulaganja u razvoj prioritetnih sektora. Prioritetni sektori za Panonsku Hrvatsku su prehrambeno-prerađivačka industrija, drvoprerađivačka industrija, metalo-prerađivačka industrija, sektor Informacijsko-komunikacijske tehnologije i turizma. Programom Konkurentnost i kohezija 2021. – 2027. u novom financijskom razdoblju Hrvatskoj je na raspolaganju 5,2 milijardi eura. Savjet konstatira da su odobreni svi programi kohezijske politike za novo programsko razdoblje.</w:t>
      </w:r>
    </w:p>
    <w:p w14:paraId="55584CBA" w14:textId="77777777" w:rsidR="001C32A8" w:rsidRDefault="001C32A8" w:rsidP="00C205AA">
      <w:pPr>
        <w:spacing w:after="160" w:line="276" w:lineRule="auto"/>
        <w:contextualSpacing/>
        <w:jc w:val="both"/>
        <w:rPr>
          <w:rFonts w:eastAsia="Calibri"/>
          <w:b/>
          <w:bCs/>
          <w:sz w:val="24"/>
          <w:szCs w:val="24"/>
        </w:rPr>
      </w:pPr>
    </w:p>
    <w:p w14:paraId="378457E2" w14:textId="77777777" w:rsidR="00C205AA" w:rsidRPr="001C32A8" w:rsidRDefault="001C32A8" w:rsidP="00C205AA">
      <w:pPr>
        <w:spacing w:after="160" w:line="276" w:lineRule="auto"/>
        <w:contextualSpacing/>
        <w:jc w:val="both"/>
        <w:rPr>
          <w:rFonts w:eastAsia="Calibri"/>
          <w:b/>
          <w:bCs/>
          <w:sz w:val="24"/>
          <w:szCs w:val="24"/>
        </w:rPr>
      </w:pPr>
      <w:r>
        <w:rPr>
          <w:rFonts w:eastAsia="Calibri"/>
          <w:b/>
          <w:bCs/>
          <w:sz w:val="24"/>
          <w:szCs w:val="24"/>
        </w:rPr>
        <w:t>Na</w:t>
      </w:r>
      <w:r w:rsidR="00C205AA" w:rsidRPr="001C32A8">
        <w:rPr>
          <w:rFonts w:eastAsia="Calibri"/>
          <w:b/>
          <w:bCs/>
          <w:sz w:val="24"/>
          <w:szCs w:val="24"/>
        </w:rPr>
        <w:t xml:space="preserve">stavak provedbe ITU mehanizma u financijskoj perspektivi </w:t>
      </w:r>
      <w:r w:rsidR="00C205AA" w:rsidRPr="00C205AA">
        <w:rPr>
          <w:rFonts w:eastAsia="Calibri"/>
          <w:b/>
          <w:bCs/>
          <w:sz w:val="24"/>
          <w:szCs w:val="24"/>
        </w:rPr>
        <w:t>2021. – 2027.</w:t>
      </w:r>
    </w:p>
    <w:p w14:paraId="6B2C58EF" w14:textId="77777777" w:rsidR="001C32A8" w:rsidRDefault="001C32A8" w:rsidP="00C205AA">
      <w:pPr>
        <w:spacing w:after="160" w:line="276" w:lineRule="auto"/>
        <w:jc w:val="both"/>
        <w:rPr>
          <w:rFonts w:eastAsia="Calibri"/>
          <w:sz w:val="24"/>
          <w:szCs w:val="24"/>
        </w:rPr>
      </w:pPr>
    </w:p>
    <w:p w14:paraId="1F5CAEE1" w14:textId="77777777" w:rsidR="00C205AA" w:rsidRPr="00C205AA" w:rsidRDefault="00C205AA" w:rsidP="00C205AA">
      <w:pPr>
        <w:spacing w:after="160" w:line="276" w:lineRule="auto"/>
        <w:jc w:val="both"/>
        <w:rPr>
          <w:rFonts w:eastAsia="Calibri"/>
          <w:sz w:val="24"/>
          <w:szCs w:val="24"/>
        </w:rPr>
      </w:pPr>
      <w:r w:rsidRPr="00C205AA">
        <w:rPr>
          <w:rFonts w:eastAsia="Calibri"/>
          <w:sz w:val="24"/>
          <w:szCs w:val="24"/>
        </w:rPr>
        <w:t xml:space="preserve">Održivi urbani razvoj se u Hrvatskoj provodi putem integriranih teritorijalnih ulaganja - ITU mehanizma. Podrška urbanim područjima planirana je u okviru Integriranog teritorijalnog programa 2021. – 2027. a kroz koji je za održivi razvoj urbanih područja u Hrvatskoj osigurana </w:t>
      </w:r>
      <w:r w:rsidRPr="00C205AA">
        <w:rPr>
          <w:rFonts w:eastAsia="Calibri"/>
          <w:sz w:val="24"/>
          <w:szCs w:val="24"/>
        </w:rPr>
        <w:lastRenderedPageBreak/>
        <w:t xml:space="preserve">alokacija od 681,3 milijuna eura. U svrhu jačanja teritorijalnog pristupa, ITU mehanizma iz razdoblja 2014.-2020. proširen je na ukupno 22 grada s urbanim područjem. U vidu područja Slavonije, Baranje i Srijema provodit će se u šest gradova: Osijeku, Slavonskom Brodu, Virovitici, Vukovaru, Vinkovcima i Požegi, a ukupna osigurana alokacija iznosi 164 </w:t>
      </w:r>
      <w:r w:rsidRPr="001C32A8">
        <w:rPr>
          <w:rFonts w:eastAsia="Calibri"/>
          <w:sz w:val="24"/>
          <w:szCs w:val="24"/>
        </w:rPr>
        <w:t>milijuna</w:t>
      </w:r>
      <w:r w:rsidRPr="00C205AA">
        <w:rPr>
          <w:rFonts w:eastAsia="Calibri"/>
          <w:sz w:val="24"/>
          <w:szCs w:val="24"/>
        </w:rPr>
        <w:t xml:space="preserve"> eura. Uz gradove središta navedenih urbanih područja ulaganjima će biti obuhvaćena i njihova funkcionalna urbana područja odnosno ukupno 48 jedinica lokalne samouprave. Prioritetna područja za gradove su: poslovna infrastruktura u urbanim područjima s ciljem pozicioniranja urbanih područja kao regionalnih centara i razvojem prioritetnih niša industrijske tranzicije, ulaganja u čisti i pametni gradski promet, revitalizacija </w:t>
      </w:r>
      <w:proofErr w:type="spellStart"/>
      <w:r w:rsidRPr="00C205AA">
        <w:rPr>
          <w:rFonts w:eastAsia="Calibri"/>
          <w:sz w:val="24"/>
          <w:szCs w:val="24"/>
        </w:rPr>
        <w:t>brownfield</w:t>
      </w:r>
      <w:proofErr w:type="spellEnd"/>
      <w:r w:rsidRPr="00C205AA">
        <w:rPr>
          <w:rFonts w:eastAsia="Calibri"/>
          <w:sz w:val="24"/>
          <w:szCs w:val="24"/>
        </w:rPr>
        <w:t xml:space="preserve"> područja, kulturna baština i turizam, zelena infrastruktura i prirodna baština te ulaganja u višenamjensku infrastrukturu u urbanim područjima, javne površine i prostore. </w:t>
      </w:r>
    </w:p>
    <w:p w14:paraId="41ADB080" w14:textId="77777777" w:rsidR="001C32A8" w:rsidRDefault="001C32A8" w:rsidP="00C205AA">
      <w:pPr>
        <w:spacing w:after="160" w:line="276" w:lineRule="auto"/>
        <w:contextualSpacing/>
        <w:jc w:val="both"/>
        <w:rPr>
          <w:rFonts w:eastAsia="Calibri"/>
          <w:b/>
          <w:bCs/>
          <w:sz w:val="24"/>
          <w:szCs w:val="24"/>
        </w:rPr>
      </w:pPr>
    </w:p>
    <w:p w14:paraId="3F58F245" w14:textId="77777777" w:rsidR="00C205AA" w:rsidRPr="00C205AA" w:rsidRDefault="00C205AA" w:rsidP="00C205AA">
      <w:pPr>
        <w:spacing w:after="160" w:line="276" w:lineRule="auto"/>
        <w:contextualSpacing/>
        <w:jc w:val="both"/>
        <w:rPr>
          <w:rFonts w:eastAsia="Calibri"/>
          <w:b/>
          <w:bCs/>
          <w:sz w:val="24"/>
          <w:szCs w:val="24"/>
        </w:rPr>
      </w:pPr>
      <w:r w:rsidRPr="00C205AA">
        <w:rPr>
          <w:rFonts w:eastAsia="Calibri"/>
          <w:b/>
          <w:bCs/>
          <w:sz w:val="24"/>
          <w:szCs w:val="24"/>
        </w:rPr>
        <w:t>Ulaganja u potpomognuta i brdsko-planinska područja na području Slavonije, Baranje i Srijema</w:t>
      </w:r>
    </w:p>
    <w:p w14:paraId="52531DC0" w14:textId="77777777" w:rsidR="001C32A8" w:rsidRDefault="001C32A8" w:rsidP="00C205AA">
      <w:pPr>
        <w:spacing w:after="160" w:line="276" w:lineRule="auto"/>
        <w:jc w:val="both"/>
        <w:rPr>
          <w:rFonts w:eastAsia="Calibri"/>
          <w:sz w:val="24"/>
          <w:szCs w:val="24"/>
        </w:rPr>
      </w:pPr>
    </w:p>
    <w:p w14:paraId="59A9430A" w14:textId="77777777" w:rsidR="00C205AA" w:rsidRPr="00C205AA" w:rsidRDefault="00C205AA" w:rsidP="00C205AA">
      <w:pPr>
        <w:spacing w:after="160" w:line="276" w:lineRule="auto"/>
        <w:jc w:val="both"/>
        <w:rPr>
          <w:rFonts w:eastAsia="Calibri"/>
          <w:sz w:val="24"/>
          <w:szCs w:val="24"/>
        </w:rPr>
      </w:pPr>
      <w:r w:rsidRPr="00C205AA">
        <w:rPr>
          <w:rFonts w:eastAsia="Calibri"/>
          <w:sz w:val="24"/>
          <w:szCs w:val="24"/>
        </w:rPr>
        <w:t>U svrhu ravnomjernog regionalnog razvoja svih područja Hrvatske u financijskoj perspektivi 2021. – 2027. u okviru Programa Konkurentnost i kohezija osiguran je iznos od 404 milijuna eura za teritorijaln</w:t>
      </w:r>
      <w:r w:rsidR="004626FE" w:rsidRPr="001C32A8">
        <w:rPr>
          <w:rFonts w:eastAsia="Calibri"/>
          <w:sz w:val="24"/>
          <w:szCs w:val="24"/>
        </w:rPr>
        <w:t>a</w:t>
      </w:r>
      <w:r w:rsidRPr="00C205AA">
        <w:rPr>
          <w:rFonts w:eastAsia="Calibri"/>
          <w:sz w:val="24"/>
          <w:szCs w:val="24"/>
        </w:rPr>
        <w:t xml:space="preserve"> ulaganja namijenjen za potpomognuta i brdsko-planinska područja. Ulaganja usmjerena na razvoj potpomognutih i brdsko-planinskih područja obuhvaćaju područja digitalizacije za građane, poduzeća, digitalne </w:t>
      </w:r>
      <w:proofErr w:type="spellStart"/>
      <w:r w:rsidRPr="00C205AA">
        <w:rPr>
          <w:rFonts w:eastAsia="Calibri"/>
          <w:sz w:val="24"/>
          <w:szCs w:val="24"/>
        </w:rPr>
        <w:t>povezivosti</w:t>
      </w:r>
      <w:proofErr w:type="spellEnd"/>
      <w:r w:rsidRPr="00C205AA">
        <w:rPr>
          <w:rFonts w:eastAsia="Calibri"/>
          <w:sz w:val="24"/>
          <w:szCs w:val="24"/>
        </w:rPr>
        <w:t xml:space="preserve"> (</w:t>
      </w:r>
      <w:proofErr w:type="spellStart"/>
      <w:r w:rsidRPr="00C205AA">
        <w:rPr>
          <w:rFonts w:eastAsia="Calibri"/>
          <w:sz w:val="24"/>
          <w:szCs w:val="24"/>
        </w:rPr>
        <w:t>agregacijska</w:t>
      </w:r>
      <w:proofErr w:type="spellEnd"/>
      <w:r w:rsidRPr="00C205AA">
        <w:rPr>
          <w:rFonts w:eastAsia="Calibri"/>
          <w:sz w:val="24"/>
          <w:szCs w:val="24"/>
        </w:rPr>
        <w:t xml:space="preserve"> mreža), energetske učinkovitosti, upravljanje rizicima (vatrogastvo), </w:t>
      </w:r>
      <w:proofErr w:type="spellStart"/>
      <w:r w:rsidRPr="00C205AA">
        <w:rPr>
          <w:rFonts w:eastAsia="Calibri"/>
          <w:sz w:val="24"/>
          <w:szCs w:val="24"/>
        </w:rPr>
        <w:t>vodnokomunalne</w:t>
      </w:r>
      <w:proofErr w:type="spellEnd"/>
      <w:r w:rsidRPr="00C205AA">
        <w:rPr>
          <w:rFonts w:eastAsia="Calibri"/>
          <w:sz w:val="24"/>
          <w:szCs w:val="24"/>
        </w:rPr>
        <w:t xml:space="preserve"> infrastrukture, bioraznolikosti i zelene infrastrukture, </w:t>
      </w:r>
      <w:proofErr w:type="spellStart"/>
      <w:r w:rsidRPr="00C205AA">
        <w:rPr>
          <w:rFonts w:eastAsia="Calibri"/>
          <w:sz w:val="24"/>
          <w:szCs w:val="24"/>
        </w:rPr>
        <w:t>povezivosti</w:t>
      </w:r>
      <w:proofErr w:type="spellEnd"/>
      <w:r w:rsidRPr="00C205AA">
        <w:rPr>
          <w:rFonts w:eastAsia="Calibri"/>
          <w:sz w:val="24"/>
          <w:szCs w:val="24"/>
        </w:rPr>
        <w:t xml:space="preserve"> (biciklističke staze), sektor zdravstva (aktivnosti primarne zdravstvene zaštite), stambene infrastrukture, obrazovanje (sportske dvorane u sklopu CDŠ) te kulture i turizma. Pored navedenog, u okviru Integriranog teritorijalnog </w:t>
      </w:r>
      <w:r w:rsidR="004626FE" w:rsidRPr="001C32A8">
        <w:rPr>
          <w:rFonts w:eastAsia="Calibri"/>
          <w:sz w:val="24"/>
          <w:szCs w:val="24"/>
        </w:rPr>
        <w:t xml:space="preserve">programa osiguran je iznos od </w:t>
      </w:r>
      <w:r w:rsidRPr="00C205AA">
        <w:rPr>
          <w:rFonts w:eastAsia="Calibri"/>
          <w:sz w:val="24"/>
          <w:szCs w:val="24"/>
        </w:rPr>
        <w:t xml:space="preserve">66 milijuna eura, koji se odnosi na ulaganja u poduzetničke potporne institucije, u okviru industrijske tranzicije. </w:t>
      </w:r>
    </w:p>
    <w:p w14:paraId="4D7DACE0" w14:textId="77777777" w:rsidR="00C205AA" w:rsidRPr="00C205AA" w:rsidRDefault="00C205AA" w:rsidP="00C205AA">
      <w:pPr>
        <w:spacing w:after="160" w:line="256" w:lineRule="auto"/>
        <w:rPr>
          <w:rFonts w:eastAsia="Calibri"/>
          <w:sz w:val="24"/>
          <w:szCs w:val="24"/>
        </w:rPr>
      </w:pPr>
    </w:p>
    <w:p w14:paraId="695DE9D6" w14:textId="77777777" w:rsidR="00C205AA" w:rsidRPr="00C205AA" w:rsidRDefault="00C205AA" w:rsidP="004626FE">
      <w:pPr>
        <w:spacing w:after="160" w:line="276" w:lineRule="auto"/>
        <w:contextualSpacing/>
        <w:jc w:val="both"/>
        <w:rPr>
          <w:rFonts w:eastAsia="Calibri"/>
          <w:b/>
          <w:sz w:val="24"/>
          <w:szCs w:val="24"/>
        </w:rPr>
      </w:pPr>
      <w:r w:rsidRPr="00C205AA">
        <w:rPr>
          <w:rFonts w:eastAsia="Calibri"/>
          <w:b/>
          <w:sz w:val="24"/>
          <w:szCs w:val="24"/>
        </w:rPr>
        <w:t>Ulaganja u poljoprivredu i ribarstvo na području Slavonije, Baranje i Srijema i nove mogućnosti do 2027. godine</w:t>
      </w:r>
    </w:p>
    <w:p w14:paraId="52E09620" w14:textId="77777777" w:rsidR="001C32A8" w:rsidRDefault="001C32A8" w:rsidP="00C205AA">
      <w:pPr>
        <w:spacing w:after="160" w:line="276" w:lineRule="auto"/>
        <w:jc w:val="both"/>
        <w:rPr>
          <w:rFonts w:eastAsia="Calibri"/>
          <w:sz w:val="24"/>
          <w:szCs w:val="24"/>
        </w:rPr>
      </w:pPr>
    </w:p>
    <w:p w14:paraId="0CEC2C3C" w14:textId="77777777" w:rsidR="00C205AA" w:rsidRPr="00C205AA" w:rsidRDefault="00C205AA" w:rsidP="00C205AA">
      <w:pPr>
        <w:spacing w:after="160" w:line="276" w:lineRule="auto"/>
        <w:jc w:val="both"/>
        <w:rPr>
          <w:rFonts w:eastAsia="Calibri"/>
          <w:sz w:val="24"/>
          <w:szCs w:val="24"/>
        </w:rPr>
      </w:pPr>
      <w:r w:rsidRPr="00C205AA">
        <w:rPr>
          <w:rFonts w:eastAsia="Calibri"/>
          <w:sz w:val="24"/>
          <w:szCs w:val="24"/>
        </w:rPr>
        <w:t>U okviru Programa ruralnog razvoja u mandatu ove Vlade na području cijele Hrvatske odobreno je 21,2 milijarde kuna.  Korisnicima u slavonskim županijama za ulaganja je odobrena potpora u vrijednosti od 7,1 milijarde kuna, odnosno 34,4 posto od ukupno odobrenog iznosa. Isplaćeno je više od 5,8 milijardi kuna, odnosno 37,4  posto od ukupno isplaćenog iznosa. Na području Slavonije, Baranje i Srijema zastupljeno je slatkovodno ribarstvo te je u okviru Operativnog programa za pomorstvo i ribarstvo za projekte u pet slavonskih županija od 18. listopada 2016. do 30. studenoga 2022. ugovoreno 36 projekata ukupne vrijednosti 233 milijuna kuna. Za tih 36 projekata ugovoreno je 114,7 milijuna kuna potpore i isplaćeno 96,3 milijuna kuna. Za državne potpore male vrijednosti na području slavonskih županija isplaćeno je 36,8 tisuća kuna, a za COVID-državne potpore ugovoreno je i isplaćeno je 1,2 milijuna kuna.</w:t>
      </w:r>
    </w:p>
    <w:p w14:paraId="5B69AEC5" w14:textId="77777777" w:rsidR="00C205AA" w:rsidRPr="00C205AA" w:rsidRDefault="00C205AA" w:rsidP="00C205AA">
      <w:pPr>
        <w:spacing w:after="120" w:line="276" w:lineRule="auto"/>
        <w:jc w:val="both"/>
        <w:rPr>
          <w:sz w:val="24"/>
          <w:szCs w:val="24"/>
        </w:rPr>
      </w:pPr>
      <w:r w:rsidRPr="00C205AA">
        <w:rPr>
          <w:sz w:val="24"/>
          <w:szCs w:val="24"/>
        </w:rPr>
        <w:lastRenderedPageBreak/>
        <w:t xml:space="preserve">Strateški plan Zajedničke poljoprivredne politike, nudi nove mogućnosti za ulaganja u poljoprivredni sektor. Dokument je </w:t>
      </w:r>
      <w:r w:rsidR="004626FE" w:rsidRPr="001C32A8">
        <w:rPr>
          <w:sz w:val="24"/>
          <w:szCs w:val="24"/>
        </w:rPr>
        <w:t>usvojila</w:t>
      </w:r>
      <w:r w:rsidRPr="00C205AA">
        <w:rPr>
          <w:sz w:val="24"/>
          <w:szCs w:val="24"/>
        </w:rPr>
        <w:t xml:space="preserve"> Europsk</w:t>
      </w:r>
      <w:r w:rsidR="004626FE" w:rsidRPr="001C32A8">
        <w:rPr>
          <w:sz w:val="24"/>
          <w:szCs w:val="24"/>
        </w:rPr>
        <w:t>a</w:t>
      </w:r>
      <w:r w:rsidRPr="00C205AA">
        <w:rPr>
          <w:sz w:val="24"/>
          <w:szCs w:val="24"/>
        </w:rPr>
        <w:t xml:space="preserve"> komisij</w:t>
      </w:r>
      <w:r w:rsidR="004626FE" w:rsidRPr="001C32A8">
        <w:rPr>
          <w:sz w:val="24"/>
          <w:szCs w:val="24"/>
        </w:rPr>
        <w:t>a</w:t>
      </w:r>
      <w:r w:rsidRPr="00C205AA">
        <w:rPr>
          <w:sz w:val="24"/>
          <w:szCs w:val="24"/>
        </w:rPr>
        <w:t xml:space="preserve"> te se njime osigurava gotovo 3,8 milijardi eura potpore u razdoblju 2023. - 2027. godine. Plan je usklađen sa Strategijom poljoprivrede do 2030., odnosno Nacionalnom razvojnom strategijom do 2030. godine.</w:t>
      </w:r>
      <w:r w:rsidRPr="00C205AA">
        <w:rPr>
          <w:rFonts w:eastAsia="Calibri"/>
          <w:sz w:val="24"/>
          <w:szCs w:val="24"/>
        </w:rPr>
        <w:t xml:space="preserve"> </w:t>
      </w:r>
      <w:r w:rsidRPr="00C205AA">
        <w:rPr>
          <w:sz w:val="24"/>
          <w:szCs w:val="24"/>
        </w:rPr>
        <w:t xml:space="preserve">Od ukupnog iznosa, 1,87 milijardi eura se odnosi na izravna plaćanja, 1,85 milijardi eura za mjere ruralnog razvoja te 63,9 milijuna eura za sektorske intervencije (sektori voća i povrća, pčelarstva te vina). </w:t>
      </w:r>
      <w:r w:rsidRPr="00C205AA">
        <w:rPr>
          <w:rFonts w:eastAsia="Calibri"/>
          <w:sz w:val="24"/>
          <w:szCs w:val="24"/>
        </w:rPr>
        <w:t xml:space="preserve">Kroz nove mogućnosti koje su predstavljene u Strateškom planu Zajedničke poljoprivredne politike Ministarstvo poljoprivrede će s drugim sektorskim dionicima kontinuirano raditi na jačanju produktivnosti poljoprivredne proizvodnje, prehrambenoj sigurnosti i proizvodima dodane vrijednosti, a značajan naglasak je na poticanju digitalizacije, inovacija te zelene tranzicije. Potpore će posebno biti usmjerene na male i mlade poljoprivrednike </w:t>
      </w:r>
      <w:r w:rsidRPr="00C205AA">
        <w:rPr>
          <w:sz w:val="24"/>
          <w:szCs w:val="24"/>
        </w:rPr>
        <w:t xml:space="preserve">s najvećim potencijalom rasta i razvoja proizvodnje kao i na poticanje udruživanja poljoprivrednika s ciljem jačanja njihova položaja na tržištu. </w:t>
      </w:r>
    </w:p>
    <w:p w14:paraId="0062A585" w14:textId="77777777" w:rsidR="00C205AA" w:rsidRPr="00C205AA" w:rsidRDefault="00C205AA" w:rsidP="00C205AA">
      <w:pPr>
        <w:spacing w:after="120" w:line="276" w:lineRule="auto"/>
        <w:jc w:val="both"/>
        <w:rPr>
          <w:rFonts w:eastAsia="Calibri"/>
          <w:sz w:val="24"/>
          <w:szCs w:val="24"/>
        </w:rPr>
      </w:pPr>
      <w:r w:rsidRPr="00C205AA">
        <w:rPr>
          <w:rFonts w:eastAsia="Calibri"/>
          <w:sz w:val="24"/>
          <w:szCs w:val="24"/>
        </w:rPr>
        <w:t xml:space="preserve">Nadalje, Europska komisija odobrila je 29. studenoga 2022. novi Program za ribarstvo i akvakulturu Republike Hrvatske za programsko razdoblje 2021.-2027. kojim je hrvatskom sektoru ribarstva i akvakulture na raspolaganje stavljeno ukupno 2,6 milijardi kuna, od čega 1,8 milijardi kuna iz europskog proračuna i  783 milijuna kuna iz državnog proračuna. Financijska omotnica koja je i Hrvatskoj na raspolaganju kroz novi Europski fond za pomorstvo, ribarstvo i akvakulturu sedma je po veličini prema iznosu sredstava, od ukupno 26 država članica. </w:t>
      </w:r>
    </w:p>
    <w:p w14:paraId="63748CA5" w14:textId="77777777" w:rsidR="00C205AA" w:rsidRPr="00C205AA" w:rsidRDefault="00C205AA" w:rsidP="00C205AA">
      <w:pPr>
        <w:spacing w:after="160" w:line="276" w:lineRule="auto"/>
        <w:jc w:val="both"/>
        <w:rPr>
          <w:rFonts w:eastAsia="Calibri"/>
          <w:sz w:val="24"/>
          <w:szCs w:val="24"/>
        </w:rPr>
      </w:pPr>
      <w:r w:rsidRPr="00C205AA">
        <w:rPr>
          <w:rFonts w:eastAsia="Calibri"/>
          <w:sz w:val="24"/>
          <w:szCs w:val="24"/>
        </w:rPr>
        <w:t>U perspektivi provedbe uspješne poljoprivredne politike Savjet podržava daljnje mjere ruralnog razvoja, kao i ulaganja u ribarstvo na tom području, restrukturiranje, modernizaciju i povećanje konkurentnosti poljoprivrednih gospodarstava i unaprjeđenje uvjeta života u ruralnim područjima Slavonije, Baranje i Srijema.</w:t>
      </w:r>
    </w:p>
    <w:p w14:paraId="09449207" w14:textId="77777777" w:rsidR="001C32A8" w:rsidRDefault="001C32A8" w:rsidP="004626FE">
      <w:pPr>
        <w:spacing w:after="160" w:line="276" w:lineRule="auto"/>
        <w:contextualSpacing/>
        <w:jc w:val="both"/>
        <w:rPr>
          <w:rFonts w:eastAsia="Calibri"/>
          <w:b/>
          <w:bCs/>
          <w:sz w:val="24"/>
          <w:szCs w:val="24"/>
        </w:rPr>
      </w:pPr>
    </w:p>
    <w:p w14:paraId="26A2D09D" w14:textId="77777777" w:rsidR="00C205AA" w:rsidRPr="00C205AA" w:rsidRDefault="00C205AA" w:rsidP="004626FE">
      <w:pPr>
        <w:spacing w:after="160" w:line="276" w:lineRule="auto"/>
        <w:contextualSpacing/>
        <w:jc w:val="both"/>
        <w:rPr>
          <w:rFonts w:eastAsia="Calibri"/>
          <w:b/>
          <w:bCs/>
          <w:sz w:val="24"/>
          <w:szCs w:val="24"/>
        </w:rPr>
      </w:pPr>
      <w:r w:rsidRPr="00C205AA">
        <w:rPr>
          <w:rFonts w:eastAsia="Calibri"/>
          <w:b/>
          <w:bCs/>
          <w:sz w:val="24"/>
          <w:szCs w:val="24"/>
        </w:rPr>
        <w:t>Ulaganja iz ESF-a (2014.-2020.) i nove mogućnosti za JL(R)S u okviru ESF+ (2021.-2027.) te najava Poziva za izgradnju i opremanje centara za starije osobe (NPOO)</w:t>
      </w:r>
    </w:p>
    <w:p w14:paraId="4F29E81B" w14:textId="77777777" w:rsidR="001C32A8" w:rsidRDefault="001C32A8" w:rsidP="00C205AA">
      <w:pPr>
        <w:spacing w:after="160" w:line="256" w:lineRule="auto"/>
        <w:jc w:val="both"/>
        <w:rPr>
          <w:rFonts w:eastAsia="Calibri"/>
          <w:sz w:val="24"/>
          <w:szCs w:val="24"/>
        </w:rPr>
      </w:pPr>
    </w:p>
    <w:p w14:paraId="15BA422E" w14:textId="77777777" w:rsidR="00C205AA" w:rsidRPr="00C205AA" w:rsidRDefault="00C205AA" w:rsidP="00C205AA">
      <w:pPr>
        <w:spacing w:after="160" w:line="256" w:lineRule="auto"/>
        <w:jc w:val="both"/>
        <w:rPr>
          <w:rFonts w:eastAsia="Calibri"/>
          <w:color w:val="FF0000"/>
          <w:sz w:val="24"/>
          <w:szCs w:val="24"/>
        </w:rPr>
      </w:pPr>
      <w:r w:rsidRPr="00C205AA">
        <w:rPr>
          <w:rFonts w:eastAsia="Calibri"/>
          <w:sz w:val="24"/>
          <w:szCs w:val="24"/>
        </w:rPr>
        <w:t xml:space="preserve">Predstavljeni su rezultati u ugovaranju i provedbi projekata financiranih sredstvima Europskog socijalnog fonda iz prethodnog financijskog razdoblja na </w:t>
      </w:r>
      <w:r w:rsidRPr="00C205AA">
        <w:rPr>
          <w:rFonts w:eastAsia="Calibri"/>
          <w:color w:val="000000"/>
          <w:sz w:val="24"/>
          <w:szCs w:val="24"/>
        </w:rPr>
        <w:t>području pet slavonskih županija. Ukupno je ugovoreno 1.135 projekata vrijednih 2,6 milijardi kuna.</w:t>
      </w:r>
    </w:p>
    <w:p w14:paraId="2589A78B" w14:textId="77777777" w:rsidR="00C205AA" w:rsidRPr="00C205AA" w:rsidRDefault="00C205AA" w:rsidP="00C205AA">
      <w:pPr>
        <w:spacing w:after="160" w:line="256" w:lineRule="auto"/>
        <w:jc w:val="both"/>
        <w:rPr>
          <w:rFonts w:eastAsia="Calibri"/>
          <w:sz w:val="24"/>
          <w:szCs w:val="24"/>
        </w:rPr>
      </w:pPr>
      <w:r w:rsidRPr="00C205AA">
        <w:rPr>
          <w:rFonts w:eastAsia="Calibri"/>
          <w:sz w:val="24"/>
          <w:szCs w:val="24"/>
        </w:rPr>
        <w:t xml:space="preserve">Kroz program zapošljavanja žena „Zaželi faza I </w:t>
      </w:r>
      <w:proofErr w:type="spellStart"/>
      <w:r w:rsidRPr="00C205AA">
        <w:rPr>
          <w:rFonts w:eastAsia="Calibri"/>
          <w:sz w:val="24"/>
          <w:szCs w:val="24"/>
        </w:rPr>
        <w:t>i</w:t>
      </w:r>
      <w:proofErr w:type="spellEnd"/>
      <w:r w:rsidRPr="00C205AA">
        <w:rPr>
          <w:rFonts w:eastAsia="Calibri"/>
          <w:sz w:val="24"/>
          <w:szCs w:val="24"/>
        </w:rPr>
        <w:t xml:space="preserve"> II“ na području pet slavonskih županija zaposleno je 6.846 žena koje su brinule o 37.018 starijih i nemoćnih osoba. Također, programom zapošljavanja žena „Zaželi fa</w:t>
      </w:r>
      <w:r w:rsidR="004626FE" w:rsidRPr="001C32A8">
        <w:rPr>
          <w:rFonts w:eastAsia="Calibri"/>
          <w:sz w:val="24"/>
          <w:szCs w:val="24"/>
        </w:rPr>
        <w:t xml:space="preserve">za III“ osigurana je alokacija </w:t>
      </w:r>
      <w:r w:rsidRPr="00C205AA">
        <w:rPr>
          <w:rFonts w:eastAsia="Calibri"/>
          <w:sz w:val="24"/>
          <w:szCs w:val="24"/>
        </w:rPr>
        <w:t xml:space="preserve">za cijelu Hrvatsku od 445 milijuna kuna, čime se omogućava zapošljavanje za više od 5.000 žena koje će brinuti o više od 31.200 starijih i nemoćnih osoba. </w:t>
      </w:r>
    </w:p>
    <w:p w14:paraId="2CED4841" w14:textId="77777777" w:rsidR="00C205AA" w:rsidRPr="00C205AA" w:rsidRDefault="00C205AA" w:rsidP="00C205AA">
      <w:pPr>
        <w:spacing w:after="160" w:line="276" w:lineRule="auto"/>
        <w:jc w:val="both"/>
        <w:rPr>
          <w:rFonts w:eastAsia="Calibri"/>
          <w:sz w:val="24"/>
          <w:szCs w:val="24"/>
        </w:rPr>
      </w:pPr>
      <w:r w:rsidRPr="00C205AA">
        <w:rPr>
          <w:rFonts w:eastAsia="Calibri"/>
          <w:sz w:val="24"/>
          <w:szCs w:val="24"/>
        </w:rPr>
        <w:t>Sredinom listopada 2022. Europsk</w:t>
      </w:r>
      <w:r w:rsidR="004626FE" w:rsidRPr="001C32A8">
        <w:rPr>
          <w:rFonts w:eastAsia="Calibri"/>
          <w:sz w:val="24"/>
          <w:szCs w:val="24"/>
        </w:rPr>
        <w:t>a</w:t>
      </w:r>
      <w:r w:rsidRPr="00C205AA">
        <w:rPr>
          <w:rFonts w:eastAsia="Calibri"/>
          <w:sz w:val="24"/>
          <w:szCs w:val="24"/>
        </w:rPr>
        <w:t xml:space="preserve"> komisij</w:t>
      </w:r>
      <w:r w:rsidR="004626FE" w:rsidRPr="001C32A8">
        <w:rPr>
          <w:rFonts w:eastAsia="Calibri"/>
          <w:sz w:val="24"/>
          <w:szCs w:val="24"/>
        </w:rPr>
        <w:t>a</w:t>
      </w:r>
      <w:r w:rsidRPr="00C205AA">
        <w:rPr>
          <w:rFonts w:eastAsia="Calibri"/>
          <w:sz w:val="24"/>
          <w:szCs w:val="24"/>
        </w:rPr>
        <w:t xml:space="preserve"> odobr</w:t>
      </w:r>
      <w:r w:rsidR="004626FE" w:rsidRPr="001C32A8">
        <w:rPr>
          <w:rFonts w:eastAsia="Calibri"/>
          <w:sz w:val="24"/>
          <w:szCs w:val="24"/>
        </w:rPr>
        <w:t>ila</w:t>
      </w:r>
      <w:r w:rsidRPr="00C205AA">
        <w:rPr>
          <w:rFonts w:eastAsia="Calibri"/>
          <w:sz w:val="24"/>
          <w:szCs w:val="24"/>
        </w:rPr>
        <w:t xml:space="preserve"> je Program Učinkoviti ljudski potencijali 2021. – 2027., a ukupna alokacija iz ESF+ za navedeni program u Hrvatskoj iznosi 2,26 milijardi eura. U okviru ESF+ predstavljena su i ulaganja u okviru kojih će jedinice lokalne, područne i regionalne samouprave biti prihvatljivi prijavitelji. Objava prvih javnih poziva za navedena ulaganja očekuju se tijekom prve polovice 2023. godine. </w:t>
      </w:r>
    </w:p>
    <w:p w14:paraId="25F9A767" w14:textId="77777777" w:rsidR="00C205AA" w:rsidRPr="00C205AA" w:rsidRDefault="00C205AA" w:rsidP="00C205AA">
      <w:pPr>
        <w:spacing w:after="160" w:line="256" w:lineRule="auto"/>
        <w:jc w:val="both"/>
        <w:rPr>
          <w:rFonts w:eastAsia="Calibri"/>
          <w:sz w:val="24"/>
          <w:szCs w:val="24"/>
        </w:rPr>
      </w:pPr>
      <w:r w:rsidRPr="00C205AA">
        <w:rPr>
          <w:rFonts w:eastAsia="Calibri"/>
          <w:sz w:val="24"/>
          <w:szCs w:val="24"/>
        </w:rPr>
        <w:lastRenderedPageBreak/>
        <w:t xml:space="preserve">U pripremi je te se uskoro očekuje i objava poziva iz Nacionalnog plana oporavka i otpornosti „Izgradnja i opremanje centara za starije osobe“, u okviru kojeg će prihvatljivi prijavitelji biti jedinice lokalne samouprave u obaveznom partnerstvu s jedinicom područne (regionalne) </w:t>
      </w:r>
      <w:r w:rsidR="00F449E7" w:rsidRPr="001C32A8">
        <w:rPr>
          <w:rFonts w:eastAsia="Calibri"/>
          <w:sz w:val="24"/>
          <w:szCs w:val="24"/>
        </w:rPr>
        <w:t xml:space="preserve">samouprave, odnosno županijom. </w:t>
      </w:r>
      <w:r w:rsidRPr="00C205AA">
        <w:rPr>
          <w:rFonts w:eastAsia="Calibri"/>
          <w:sz w:val="24"/>
          <w:szCs w:val="24"/>
        </w:rPr>
        <w:t xml:space="preserve">Svrha poziva je poboljšanje dostupnosti integrirane cjelovite skrbi za starije osobe unapređenjem infrastrukture za pružanje socijalnih usluga za starije osobe. Ukupna vrijednost poziva je nešto više od 49 milijuna eura. </w:t>
      </w:r>
      <w:bookmarkEnd w:id="1"/>
    </w:p>
    <w:p w14:paraId="7597E053" w14:textId="77777777" w:rsidR="00C205AA" w:rsidRPr="00C205AA" w:rsidRDefault="00C205AA" w:rsidP="00C205AA">
      <w:pPr>
        <w:spacing w:after="160" w:line="256" w:lineRule="auto"/>
        <w:jc w:val="both"/>
        <w:rPr>
          <w:rFonts w:eastAsia="Calibri"/>
          <w:sz w:val="24"/>
          <w:szCs w:val="24"/>
        </w:rPr>
      </w:pPr>
      <w:r w:rsidRPr="00C205AA">
        <w:rPr>
          <w:rFonts w:eastAsia="Calibri"/>
          <w:sz w:val="24"/>
          <w:szCs w:val="24"/>
        </w:rPr>
        <w:t xml:space="preserve">Sljedeća sjednica Savjeta za Slavoniju, Baranju i Srijem </w:t>
      </w:r>
      <w:r w:rsidR="00F449E7" w:rsidRPr="001C32A8">
        <w:rPr>
          <w:rFonts w:eastAsia="Calibri"/>
          <w:sz w:val="24"/>
          <w:szCs w:val="24"/>
        </w:rPr>
        <w:t>održat će se</w:t>
      </w:r>
      <w:r w:rsidRPr="00C205AA">
        <w:rPr>
          <w:rFonts w:eastAsia="Calibri"/>
          <w:sz w:val="24"/>
          <w:szCs w:val="24"/>
        </w:rPr>
        <w:t xml:space="preserve"> u </w:t>
      </w:r>
      <w:r w:rsidR="00F449E7" w:rsidRPr="001C32A8">
        <w:rPr>
          <w:rFonts w:eastAsia="Calibri"/>
          <w:sz w:val="24"/>
          <w:szCs w:val="24"/>
        </w:rPr>
        <w:t>g</w:t>
      </w:r>
      <w:r w:rsidRPr="00C205AA">
        <w:rPr>
          <w:rFonts w:eastAsia="Calibri"/>
          <w:sz w:val="24"/>
          <w:szCs w:val="24"/>
        </w:rPr>
        <w:t>radu Otoku u Vukovarsko-srijemskoj županiji.</w:t>
      </w:r>
    </w:p>
    <w:p w14:paraId="5E85BC0C" w14:textId="77777777" w:rsidR="00396307" w:rsidRPr="001C32A8" w:rsidRDefault="00396307" w:rsidP="00C205AA">
      <w:pPr>
        <w:jc w:val="both"/>
        <w:rPr>
          <w:sz w:val="24"/>
          <w:szCs w:val="24"/>
          <w:lang w:eastAsia="hr-HR"/>
        </w:rPr>
      </w:pPr>
    </w:p>
    <w:sectPr w:rsidR="00396307" w:rsidRPr="001C32A8" w:rsidSect="008E6889">
      <w:footerReference w:type="default" r:id="rId9"/>
      <w:endnotePr>
        <w:numFmt w:val="chicago"/>
      </w:endnotePr>
      <w:pgSz w:w="11906" w:h="16838"/>
      <w:pgMar w:top="1417" w:right="1417" w:bottom="1417" w:left="1417" w:header="720" w:footer="720" w:gutter="0"/>
      <w:pgNumType w:start="1"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7C66F" w14:textId="77777777" w:rsidR="007020A5" w:rsidRDefault="007020A5">
      <w:r>
        <w:separator/>
      </w:r>
    </w:p>
  </w:endnote>
  <w:endnote w:type="continuationSeparator" w:id="0">
    <w:p w14:paraId="3EC02184" w14:textId="77777777" w:rsidR="007020A5" w:rsidRDefault="0070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286878"/>
      <w:docPartObj>
        <w:docPartGallery w:val="Page Numbers (Bottom of Page)"/>
        <w:docPartUnique/>
      </w:docPartObj>
    </w:sdtPr>
    <w:sdtContent>
      <w:p w14:paraId="0CFF0C66" w14:textId="77777777" w:rsidR="008E6889" w:rsidRDefault="008E6889">
        <w:pPr>
          <w:pStyle w:val="Footer"/>
          <w:jc w:val="right"/>
        </w:pPr>
        <w:r>
          <w:fldChar w:fldCharType="begin"/>
        </w:r>
        <w:r>
          <w:instrText>PAGE   \* MERGEFORMAT</w:instrText>
        </w:r>
        <w:r>
          <w:fldChar w:fldCharType="separate"/>
        </w:r>
        <w:r>
          <w:rPr>
            <w:noProof/>
          </w:rPr>
          <w:t>4</w:t>
        </w:r>
        <w:r>
          <w:fldChar w:fldCharType="end"/>
        </w:r>
      </w:p>
    </w:sdtContent>
  </w:sdt>
  <w:p w14:paraId="2F8B52FD" w14:textId="77777777" w:rsidR="004E7F7D" w:rsidRPr="004E7F7D" w:rsidRDefault="004E7F7D" w:rsidP="004E7F7D">
    <w:pPr>
      <w:pStyle w:val="Heading1"/>
      <w:pBdr>
        <w:top w:val="single" w:sz="4" w:space="1" w:color="auto"/>
      </w:pBdr>
      <w:ind w:left="-142" w:right="-142"/>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3539" w14:textId="77777777" w:rsidR="007020A5" w:rsidRDefault="007020A5">
      <w:r>
        <w:separator/>
      </w:r>
    </w:p>
  </w:footnote>
  <w:footnote w:type="continuationSeparator" w:id="0">
    <w:p w14:paraId="6F14329C" w14:textId="77777777" w:rsidR="007020A5" w:rsidRDefault="00702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0D61"/>
    <w:multiLevelType w:val="hybridMultilevel"/>
    <w:tmpl w:val="477CECDA"/>
    <w:lvl w:ilvl="0" w:tplc="E8E8BBEE">
      <w:start w:val="1"/>
      <w:numFmt w:val="lowerLetter"/>
      <w:lvlText w:val="%1)"/>
      <w:lvlJc w:val="left"/>
      <w:pPr>
        <w:ind w:left="1778" w:hanging="360"/>
      </w:pPr>
    </w:lvl>
    <w:lvl w:ilvl="1" w:tplc="041A0019">
      <w:start w:val="1"/>
      <w:numFmt w:val="lowerLetter"/>
      <w:lvlText w:val="%2."/>
      <w:lvlJc w:val="left"/>
      <w:pPr>
        <w:ind w:left="2498" w:hanging="360"/>
      </w:pPr>
    </w:lvl>
    <w:lvl w:ilvl="2" w:tplc="041A001B">
      <w:start w:val="1"/>
      <w:numFmt w:val="lowerRoman"/>
      <w:lvlText w:val="%3."/>
      <w:lvlJc w:val="right"/>
      <w:pPr>
        <w:ind w:left="3218" w:hanging="180"/>
      </w:pPr>
    </w:lvl>
    <w:lvl w:ilvl="3" w:tplc="041A000F">
      <w:start w:val="1"/>
      <w:numFmt w:val="decimal"/>
      <w:lvlText w:val="%4."/>
      <w:lvlJc w:val="left"/>
      <w:pPr>
        <w:ind w:left="3938" w:hanging="360"/>
      </w:pPr>
    </w:lvl>
    <w:lvl w:ilvl="4" w:tplc="041A0019">
      <w:start w:val="1"/>
      <w:numFmt w:val="lowerLetter"/>
      <w:lvlText w:val="%5."/>
      <w:lvlJc w:val="left"/>
      <w:pPr>
        <w:ind w:left="4658" w:hanging="360"/>
      </w:pPr>
    </w:lvl>
    <w:lvl w:ilvl="5" w:tplc="041A001B">
      <w:start w:val="1"/>
      <w:numFmt w:val="lowerRoman"/>
      <w:lvlText w:val="%6."/>
      <w:lvlJc w:val="right"/>
      <w:pPr>
        <w:ind w:left="5378" w:hanging="180"/>
      </w:pPr>
    </w:lvl>
    <w:lvl w:ilvl="6" w:tplc="041A000F">
      <w:start w:val="1"/>
      <w:numFmt w:val="decimal"/>
      <w:lvlText w:val="%7."/>
      <w:lvlJc w:val="left"/>
      <w:pPr>
        <w:ind w:left="6098" w:hanging="360"/>
      </w:pPr>
    </w:lvl>
    <w:lvl w:ilvl="7" w:tplc="041A0019">
      <w:start w:val="1"/>
      <w:numFmt w:val="lowerLetter"/>
      <w:lvlText w:val="%8."/>
      <w:lvlJc w:val="left"/>
      <w:pPr>
        <w:ind w:left="6818" w:hanging="360"/>
      </w:pPr>
    </w:lvl>
    <w:lvl w:ilvl="8" w:tplc="041A001B">
      <w:start w:val="1"/>
      <w:numFmt w:val="lowerRoman"/>
      <w:lvlText w:val="%9."/>
      <w:lvlJc w:val="right"/>
      <w:pPr>
        <w:ind w:left="7538" w:hanging="180"/>
      </w:pPr>
    </w:lvl>
  </w:abstractNum>
  <w:abstractNum w:abstractNumId="1" w15:restartNumberingAfterBreak="0">
    <w:nsid w:val="164E6035"/>
    <w:multiLevelType w:val="multilevel"/>
    <w:tmpl w:val="566AAE4E"/>
    <w:lvl w:ilvl="0">
      <w:start w:val="19"/>
      <w:numFmt w:val="decimal"/>
      <w:lvlText w:val="%1"/>
      <w:lvlJc w:val="left"/>
      <w:pPr>
        <w:tabs>
          <w:tab w:val="num" w:pos="990"/>
        </w:tabs>
        <w:ind w:left="990" w:hanging="1440"/>
      </w:pPr>
      <w:rPr>
        <w:rFonts w:hint="default"/>
      </w:rPr>
    </w:lvl>
    <w:lvl w:ilvl="1">
      <w:start w:val="30"/>
      <w:numFmt w:val="decimal"/>
      <w:lvlText w:val="%1.%2"/>
      <w:lvlJc w:val="left"/>
      <w:pPr>
        <w:tabs>
          <w:tab w:val="num" w:pos="990"/>
        </w:tabs>
        <w:ind w:left="990" w:hanging="1440"/>
      </w:pPr>
      <w:rPr>
        <w:rFonts w:hint="default"/>
      </w:rPr>
    </w:lvl>
    <w:lvl w:ilvl="2">
      <w:start w:val="1"/>
      <w:numFmt w:val="decimal"/>
      <w:lvlText w:val="%1.%2.%3"/>
      <w:lvlJc w:val="left"/>
      <w:pPr>
        <w:tabs>
          <w:tab w:val="num" w:pos="990"/>
        </w:tabs>
        <w:ind w:left="990" w:hanging="1440"/>
      </w:pPr>
      <w:rPr>
        <w:rFonts w:hint="default"/>
      </w:rPr>
    </w:lvl>
    <w:lvl w:ilvl="3">
      <w:start w:val="1"/>
      <w:numFmt w:val="decimal"/>
      <w:lvlText w:val="%1.%2.%3.%4"/>
      <w:lvlJc w:val="left"/>
      <w:pPr>
        <w:tabs>
          <w:tab w:val="num" w:pos="990"/>
        </w:tabs>
        <w:ind w:left="990" w:hanging="1440"/>
      </w:pPr>
      <w:rPr>
        <w:rFonts w:hint="default"/>
      </w:rPr>
    </w:lvl>
    <w:lvl w:ilvl="4">
      <w:start w:val="1"/>
      <w:numFmt w:val="decimal"/>
      <w:lvlText w:val="%1.%2.%3.%4.%5"/>
      <w:lvlJc w:val="left"/>
      <w:pPr>
        <w:tabs>
          <w:tab w:val="num" w:pos="990"/>
        </w:tabs>
        <w:ind w:left="990" w:hanging="1440"/>
      </w:pPr>
      <w:rPr>
        <w:rFonts w:hint="default"/>
      </w:rPr>
    </w:lvl>
    <w:lvl w:ilvl="5">
      <w:start w:val="1"/>
      <w:numFmt w:val="decimal"/>
      <w:lvlText w:val="%1.%2.%3.%4.%5.%6"/>
      <w:lvlJc w:val="left"/>
      <w:pPr>
        <w:tabs>
          <w:tab w:val="num" w:pos="990"/>
        </w:tabs>
        <w:ind w:left="990" w:hanging="1440"/>
      </w:pPr>
      <w:rPr>
        <w:rFonts w:hint="default"/>
      </w:rPr>
    </w:lvl>
    <w:lvl w:ilvl="6">
      <w:start w:val="1"/>
      <w:numFmt w:val="decimal"/>
      <w:lvlText w:val="%1.%2.%3.%4.%5.%6.%7"/>
      <w:lvlJc w:val="left"/>
      <w:pPr>
        <w:tabs>
          <w:tab w:val="num" w:pos="990"/>
        </w:tabs>
        <w:ind w:left="990" w:hanging="1440"/>
      </w:pPr>
      <w:rPr>
        <w:rFonts w:hint="default"/>
      </w:rPr>
    </w:lvl>
    <w:lvl w:ilvl="7">
      <w:start w:val="1"/>
      <w:numFmt w:val="decimal"/>
      <w:lvlText w:val="%1.%2.%3.%4.%5.%6.%7.%8"/>
      <w:lvlJc w:val="left"/>
      <w:pPr>
        <w:tabs>
          <w:tab w:val="num" w:pos="990"/>
        </w:tabs>
        <w:ind w:left="990" w:hanging="1440"/>
      </w:pPr>
      <w:rPr>
        <w:rFonts w:hint="default"/>
      </w:rPr>
    </w:lvl>
    <w:lvl w:ilvl="8">
      <w:start w:val="1"/>
      <w:numFmt w:val="decimal"/>
      <w:lvlText w:val="%1.%2.%3.%4.%5.%6.%7.%8.%9"/>
      <w:lvlJc w:val="left"/>
      <w:pPr>
        <w:tabs>
          <w:tab w:val="num" w:pos="1350"/>
        </w:tabs>
        <w:ind w:left="1350" w:hanging="1800"/>
      </w:pPr>
      <w:rPr>
        <w:rFonts w:hint="default"/>
      </w:rPr>
    </w:lvl>
  </w:abstractNum>
  <w:abstractNum w:abstractNumId="2" w15:restartNumberingAfterBreak="0">
    <w:nsid w:val="27A811D4"/>
    <w:multiLevelType w:val="multilevel"/>
    <w:tmpl w:val="3DDE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208CD"/>
    <w:multiLevelType w:val="hybridMultilevel"/>
    <w:tmpl w:val="E37C92D6"/>
    <w:lvl w:ilvl="0" w:tplc="041A000F">
      <w:start w:val="1"/>
      <w:numFmt w:val="decimal"/>
      <w:lvlText w:val="%1."/>
      <w:lvlJc w:val="left"/>
      <w:pPr>
        <w:ind w:left="720" w:hanging="360"/>
      </w:pPr>
      <w:rPr>
        <w:b w:val="0"/>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6133708"/>
    <w:multiLevelType w:val="hybridMultilevel"/>
    <w:tmpl w:val="126892B8"/>
    <w:lvl w:ilvl="0" w:tplc="12E65C44">
      <w:start w:val="1"/>
      <w:numFmt w:val="lowerLetter"/>
      <w:lvlText w:val="%1)"/>
      <w:lvlJc w:val="left"/>
      <w:pPr>
        <w:ind w:left="927" w:hanging="360"/>
      </w:pPr>
    </w:lvl>
    <w:lvl w:ilvl="1" w:tplc="041A0019">
      <w:start w:val="1"/>
      <w:numFmt w:val="lowerLetter"/>
      <w:lvlText w:val="%2."/>
      <w:lvlJc w:val="left"/>
      <w:pPr>
        <w:ind w:left="1647" w:hanging="360"/>
      </w:pPr>
    </w:lvl>
    <w:lvl w:ilvl="2" w:tplc="041A001B">
      <w:start w:val="1"/>
      <w:numFmt w:val="lowerRoman"/>
      <w:lvlText w:val="%3."/>
      <w:lvlJc w:val="right"/>
      <w:pPr>
        <w:ind w:left="2367" w:hanging="180"/>
      </w:pPr>
    </w:lvl>
    <w:lvl w:ilvl="3" w:tplc="041A000F">
      <w:start w:val="1"/>
      <w:numFmt w:val="decimal"/>
      <w:lvlText w:val="%4."/>
      <w:lvlJc w:val="left"/>
      <w:pPr>
        <w:ind w:left="3087" w:hanging="360"/>
      </w:pPr>
    </w:lvl>
    <w:lvl w:ilvl="4" w:tplc="041A0019">
      <w:start w:val="1"/>
      <w:numFmt w:val="lowerLetter"/>
      <w:lvlText w:val="%5."/>
      <w:lvlJc w:val="left"/>
      <w:pPr>
        <w:ind w:left="3807" w:hanging="360"/>
      </w:pPr>
    </w:lvl>
    <w:lvl w:ilvl="5" w:tplc="041A001B">
      <w:start w:val="1"/>
      <w:numFmt w:val="lowerRoman"/>
      <w:lvlText w:val="%6."/>
      <w:lvlJc w:val="right"/>
      <w:pPr>
        <w:ind w:left="4527" w:hanging="180"/>
      </w:pPr>
    </w:lvl>
    <w:lvl w:ilvl="6" w:tplc="041A000F">
      <w:start w:val="1"/>
      <w:numFmt w:val="decimal"/>
      <w:lvlText w:val="%7."/>
      <w:lvlJc w:val="left"/>
      <w:pPr>
        <w:ind w:left="5247" w:hanging="360"/>
      </w:pPr>
    </w:lvl>
    <w:lvl w:ilvl="7" w:tplc="041A0019">
      <w:start w:val="1"/>
      <w:numFmt w:val="lowerLetter"/>
      <w:lvlText w:val="%8."/>
      <w:lvlJc w:val="left"/>
      <w:pPr>
        <w:ind w:left="5967" w:hanging="360"/>
      </w:pPr>
    </w:lvl>
    <w:lvl w:ilvl="8" w:tplc="041A001B">
      <w:start w:val="1"/>
      <w:numFmt w:val="lowerRoman"/>
      <w:lvlText w:val="%9."/>
      <w:lvlJc w:val="right"/>
      <w:pPr>
        <w:ind w:left="6687" w:hanging="180"/>
      </w:pPr>
    </w:lvl>
  </w:abstractNum>
  <w:abstractNum w:abstractNumId="5" w15:restartNumberingAfterBreak="0">
    <w:nsid w:val="4ABA0E80"/>
    <w:multiLevelType w:val="multilevel"/>
    <w:tmpl w:val="ED821D8A"/>
    <w:lvl w:ilvl="0">
      <w:start w:val="19"/>
      <w:numFmt w:val="decimal"/>
      <w:lvlText w:val="%1.0"/>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6EEB03FF"/>
    <w:multiLevelType w:val="hybridMultilevel"/>
    <w:tmpl w:val="D3C85EF0"/>
    <w:lvl w:ilvl="0" w:tplc="9B360F44">
      <w:start w:val="1"/>
      <w:numFmt w:val="bullet"/>
      <w:lvlText w:val=""/>
      <w:lvlJc w:val="left"/>
      <w:pPr>
        <w:ind w:left="928" w:hanging="360"/>
      </w:pPr>
      <w:rPr>
        <w:rFonts w:ascii="Symbol" w:hAnsi="Symbol" w:hint="default"/>
        <w:color w:val="auto"/>
      </w:rPr>
    </w:lvl>
    <w:lvl w:ilvl="1" w:tplc="041A0003">
      <w:start w:val="1"/>
      <w:numFmt w:val="bullet"/>
      <w:lvlText w:val="o"/>
      <w:lvlJc w:val="left"/>
      <w:pPr>
        <w:ind w:left="1648" w:hanging="360"/>
      </w:pPr>
      <w:rPr>
        <w:rFonts w:ascii="Courier New" w:hAnsi="Courier New" w:cs="Courier New" w:hint="default"/>
      </w:rPr>
    </w:lvl>
    <w:lvl w:ilvl="2" w:tplc="041A0005">
      <w:start w:val="1"/>
      <w:numFmt w:val="bullet"/>
      <w:lvlText w:val=""/>
      <w:lvlJc w:val="left"/>
      <w:pPr>
        <w:ind w:left="2368" w:hanging="360"/>
      </w:pPr>
      <w:rPr>
        <w:rFonts w:ascii="Wingdings" w:hAnsi="Wingdings" w:hint="default"/>
      </w:rPr>
    </w:lvl>
    <w:lvl w:ilvl="3" w:tplc="041A0001">
      <w:start w:val="1"/>
      <w:numFmt w:val="bullet"/>
      <w:lvlText w:val=""/>
      <w:lvlJc w:val="left"/>
      <w:pPr>
        <w:ind w:left="3088" w:hanging="360"/>
      </w:pPr>
      <w:rPr>
        <w:rFonts w:ascii="Symbol" w:hAnsi="Symbol" w:hint="default"/>
      </w:rPr>
    </w:lvl>
    <w:lvl w:ilvl="4" w:tplc="041A0003">
      <w:start w:val="1"/>
      <w:numFmt w:val="bullet"/>
      <w:lvlText w:val="o"/>
      <w:lvlJc w:val="left"/>
      <w:pPr>
        <w:ind w:left="3808" w:hanging="360"/>
      </w:pPr>
      <w:rPr>
        <w:rFonts w:ascii="Courier New" w:hAnsi="Courier New" w:cs="Courier New" w:hint="default"/>
      </w:rPr>
    </w:lvl>
    <w:lvl w:ilvl="5" w:tplc="041A0005">
      <w:start w:val="1"/>
      <w:numFmt w:val="bullet"/>
      <w:lvlText w:val=""/>
      <w:lvlJc w:val="left"/>
      <w:pPr>
        <w:ind w:left="4528" w:hanging="360"/>
      </w:pPr>
      <w:rPr>
        <w:rFonts w:ascii="Wingdings" w:hAnsi="Wingdings" w:hint="default"/>
      </w:rPr>
    </w:lvl>
    <w:lvl w:ilvl="6" w:tplc="041A0001">
      <w:start w:val="1"/>
      <w:numFmt w:val="bullet"/>
      <w:lvlText w:val=""/>
      <w:lvlJc w:val="left"/>
      <w:pPr>
        <w:ind w:left="5248" w:hanging="360"/>
      </w:pPr>
      <w:rPr>
        <w:rFonts w:ascii="Symbol" w:hAnsi="Symbol" w:hint="default"/>
      </w:rPr>
    </w:lvl>
    <w:lvl w:ilvl="7" w:tplc="041A0003">
      <w:start w:val="1"/>
      <w:numFmt w:val="bullet"/>
      <w:lvlText w:val="o"/>
      <w:lvlJc w:val="left"/>
      <w:pPr>
        <w:ind w:left="5968" w:hanging="360"/>
      </w:pPr>
      <w:rPr>
        <w:rFonts w:ascii="Courier New" w:hAnsi="Courier New" w:cs="Courier New" w:hint="default"/>
      </w:rPr>
    </w:lvl>
    <w:lvl w:ilvl="8" w:tplc="041A0005">
      <w:start w:val="1"/>
      <w:numFmt w:val="bullet"/>
      <w:lvlText w:val=""/>
      <w:lvlJc w:val="left"/>
      <w:pPr>
        <w:ind w:left="6688" w:hanging="360"/>
      </w:pPr>
      <w:rPr>
        <w:rFonts w:ascii="Wingdings" w:hAnsi="Wingdings" w:hint="default"/>
      </w:rPr>
    </w:lvl>
  </w:abstractNum>
  <w:abstractNum w:abstractNumId="7" w15:restartNumberingAfterBreak="0">
    <w:nsid w:val="71662A42"/>
    <w:multiLevelType w:val="hybridMultilevel"/>
    <w:tmpl w:val="480698B0"/>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8" w15:restartNumberingAfterBreak="0">
    <w:nsid w:val="78F40843"/>
    <w:multiLevelType w:val="hybridMultilevel"/>
    <w:tmpl w:val="56ECEF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A224CF7"/>
    <w:multiLevelType w:val="hybridMultilevel"/>
    <w:tmpl w:val="ACDE3B9E"/>
    <w:lvl w:ilvl="0" w:tplc="30C2D936">
      <w:start w:val="7"/>
      <w:numFmt w:val="bullet"/>
      <w:lvlText w:val="-"/>
      <w:lvlJc w:val="left"/>
      <w:pPr>
        <w:tabs>
          <w:tab w:val="num" w:pos="1800"/>
        </w:tabs>
        <w:ind w:left="1800" w:hanging="360"/>
      </w:pPr>
      <w:rPr>
        <w:rFonts w:ascii="Times New Roman" w:eastAsia="Times New Roman" w:hAnsi="Times New Roman" w:cs="Times New Roman"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7B1537A2"/>
    <w:multiLevelType w:val="multilevel"/>
    <w:tmpl w:val="F452A74E"/>
    <w:lvl w:ilvl="0">
      <w:start w:val="17"/>
      <w:numFmt w:val="decimal"/>
      <w:lvlText w:val="%1.0"/>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554846234">
    <w:abstractNumId w:val="10"/>
  </w:num>
  <w:num w:numId="2" w16cid:durableId="717124053">
    <w:abstractNumId w:val="5"/>
  </w:num>
  <w:num w:numId="3" w16cid:durableId="2112627229">
    <w:abstractNumId w:val="1"/>
  </w:num>
  <w:num w:numId="4" w16cid:durableId="328294052">
    <w:abstractNumId w:val="9"/>
  </w:num>
  <w:num w:numId="5" w16cid:durableId="1338994249">
    <w:abstractNumId w:val="2"/>
  </w:num>
  <w:num w:numId="6" w16cid:durableId="8145628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4568727">
    <w:abstractNumId w:val="6"/>
  </w:num>
  <w:num w:numId="8" w16cid:durableId="1924030018">
    <w:abstractNumId w:val="6"/>
  </w:num>
  <w:num w:numId="9" w16cid:durableId="1344044478">
    <w:abstractNumId w:val="3"/>
  </w:num>
  <w:num w:numId="10" w16cid:durableId="701906487">
    <w:abstractNumId w:val="8"/>
  </w:num>
  <w:num w:numId="11" w16cid:durableId="10119526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30112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73182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33D"/>
    <w:rsid w:val="00000039"/>
    <w:rsid w:val="0000239B"/>
    <w:rsid w:val="00004B38"/>
    <w:rsid w:val="00005353"/>
    <w:rsid w:val="00016A1C"/>
    <w:rsid w:val="00031404"/>
    <w:rsid w:val="000314DA"/>
    <w:rsid w:val="00036AA0"/>
    <w:rsid w:val="00040B71"/>
    <w:rsid w:val="00052CE6"/>
    <w:rsid w:val="00063649"/>
    <w:rsid w:val="000640AA"/>
    <w:rsid w:val="000641E6"/>
    <w:rsid w:val="0007401C"/>
    <w:rsid w:val="000765CE"/>
    <w:rsid w:val="00076C0F"/>
    <w:rsid w:val="00077718"/>
    <w:rsid w:val="00081709"/>
    <w:rsid w:val="00081E37"/>
    <w:rsid w:val="00083140"/>
    <w:rsid w:val="00085D1E"/>
    <w:rsid w:val="00091FAC"/>
    <w:rsid w:val="000A022D"/>
    <w:rsid w:val="000A0913"/>
    <w:rsid w:val="000A502A"/>
    <w:rsid w:val="000A6405"/>
    <w:rsid w:val="000B5877"/>
    <w:rsid w:val="000B658F"/>
    <w:rsid w:val="000C3B3F"/>
    <w:rsid w:val="000C4173"/>
    <w:rsid w:val="000C58A3"/>
    <w:rsid w:val="000D01B7"/>
    <w:rsid w:val="000D6573"/>
    <w:rsid w:val="000E605F"/>
    <w:rsid w:val="000E7925"/>
    <w:rsid w:val="000F08AE"/>
    <w:rsid w:val="000F34B5"/>
    <w:rsid w:val="00100611"/>
    <w:rsid w:val="00103128"/>
    <w:rsid w:val="001114F6"/>
    <w:rsid w:val="00116AE1"/>
    <w:rsid w:val="00116FC0"/>
    <w:rsid w:val="00126EE6"/>
    <w:rsid w:val="00130C83"/>
    <w:rsid w:val="00132449"/>
    <w:rsid w:val="00141F1A"/>
    <w:rsid w:val="001424C0"/>
    <w:rsid w:val="001443BE"/>
    <w:rsid w:val="00144C4E"/>
    <w:rsid w:val="00151DF5"/>
    <w:rsid w:val="00162E6D"/>
    <w:rsid w:val="0017122E"/>
    <w:rsid w:val="00176557"/>
    <w:rsid w:val="00182838"/>
    <w:rsid w:val="00182A62"/>
    <w:rsid w:val="00183185"/>
    <w:rsid w:val="00183D51"/>
    <w:rsid w:val="00192B5B"/>
    <w:rsid w:val="0019486F"/>
    <w:rsid w:val="00195089"/>
    <w:rsid w:val="00195436"/>
    <w:rsid w:val="001A00A8"/>
    <w:rsid w:val="001A04AC"/>
    <w:rsid w:val="001A4C70"/>
    <w:rsid w:val="001A63E5"/>
    <w:rsid w:val="001B72BA"/>
    <w:rsid w:val="001C32A8"/>
    <w:rsid w:val="001C63A0"/>
    <w:rsid w:val="001C78ED"/>
    <w:rsid w:val="001D17A5"/>
    <w:rsid w:val="001D39E7"/>
    <w:rsid w:val="001F0AD3"/>
    <w:rsid w:val="001F3A15"/>
    <w:rsid w:val="001F4113"/>
    <w:rsid w:val="00206179"/>
    <w:rsid w:val="00210120"/>
    <w:rsid w:val="00215973"/>
    <w:rsid w:val="00216401"/>
    <w:rsid w:val="0022787B"/>
    <w:rsid w:val="002304C0"/>
    <w:rsid w:val="002363D5"/>
    <w:rsid w:val="00244451"/>
    <w:rsid w:val="00247211"/>
    <w:rsid w:val="002477B5"/>
    <w:rsid w:val="00254BF2"/>
    <w:rsid w:val="00265092"/>
    <w:rsid w:val="002669A3"/>
    <w:rsid w:val="00266EBF"/>
    <w:rsid w:val="00274B9B"/>
    <w:rsid w:val="00276BBB"/>
    <w:rsid w:val="002842FA"/>
    <w:rsid w:val="00287A98"/>
    <w:rsid w:val="0029010A"/>
    <w:rsid w:val="002A0EB4"/>
    <w:rsid w:val="002A1BB4"/>
    <w:rsid w:val="002A322A"/>
    <w:rsid w:val="002B03B0"/>
    <w:rsid w:val="002B1285"/>
    <w:rsid w:val="002B2542"/>
    <w:rsid w:val="002B46F7"/>
    <w:rsid w:val="002C1FB4"/>
    <w:rsid w:val="002C4D73"/>
    <w:rsid w:val="002C7C6A"/>
    <w:rsid w:val="002D1752"/>
    <w:rsid w:val="002D2ED3"/>
    <w:rsid w:val="002E0968"/>
    <w:rsid w:val="002F0DA2"/>
    <w:rsid w:val="002F2B80"/>
    <w:rsid w:val="002F3E20"/>
    <w:rsid w:val="002F6EA1"/>
    <w:rsid w:val="0030629E"/>
    <w:rsid w:val="00306553"/>
    <w:rsid w:val="003224B2"/>
    <w:rsid w:val="00327181"/>
    <w:rsid w:val="003279C7"/>
    <w:rsid w:val="00330963"/>
    <w:rsid w:val="00330C41"/>
    <w:rsid w:val="00342AA9"/>
    <w:rsid w:val="003447F1"/>
    <w:rsid w:val="00345E14"/>
    <w:rsid w:val="003476CE"/>
    <w:rsid w:val="0035462E"/>
    <w:rsid w:val="0035480D"/>
    <w:rsid w:val="00356749"/>
    <w:rsid w:val="00356C9F"/>
    <w:rsid w:val="0035754C"/>
    <w:rsid w:val="00357D74"/>
    <w:rsid w:val="00365707"/>
    <w:rsid w:val="00380593"/>
    <w:rsid w:val="00380B9C"/>
    <w:rsid w:val="00380D23"/>
    <w:rsid w:val="003927EE"/>
    <w:rsid w:val="003933EC"/>
    <w:rsid w:val="00396307"/>
    <w:rsid w:val="00397383"/>
    <w:rsid w:val="003A1B2C"/>
    <w:rsid w:val="003A5BBC"/>
    <w:rsid w:val="003B344B"/>
    <w:rsid w:val="003B3D3C"/>
    <w:rsid w:val="003C0791"/>
    <w:rsid w:val="003D6B42"/>
    <w:rsid w:val="003E275E"/>
    <w:rsid w:val="003E7E4C"/>
    <w:rsid w:val="003F05A0"/>
    <w:rsid w:val="003F1B5D"/>
    <w:rsid w:val="003F2779"/>
    <w:rsid w:val="003F35F1"/>
    <w:rsid w:val="003F4CA4"/>
    <w:rsid w:val="003F631F"/>
    <w:rsid w:val="003F7866"/>
    <w:rsid w:val="004020D0"/>
    <w:rsid w:val="00403439"/>
    <w:rsid w:val="00407CC3"/>
    <w:rsid w:val="00410296"/>
    <w:rsid w:val="00412F00"/>
    <w:rsid w:val="0041369B"/>
    <w:rsid w:val="00420FE2"/>
    <w:rsid w:val="00424DBE"/>
    <w:rsid w:val="004254F8"/>
    <w:rsid w:val="00426283"/>
    <w:rsid w:val="00427B40"/>
    <w:rsid w:val="00430291"/>
    <w:rsid w:val="00436865"/>
    <w:rsid w:val="00445A2F"/>
    <w:rsid w:val="00454391"/>
    <w:rsid w:val="004548FA"/>
    <w:rsid w:val="004612D0"/>
    <w:rsid w:val="004626FE"/>
    <w:rsid w:val="004746C9"/>
    <w:rsid w:val="00482333"/>
    <w:rsid w:val="004856DB"/>
    <w:rsid w:val="00486068"/>
    <w:rsid w:val="00486654"/>
    <w:rsid w:val="004A1091"/>
    <w:rsid w:val="004B18E7"/>
    <w:rsid w:val="004C0564"/>
    <w:rsid w:val="004C2DB9"/>
    <w:rsid w:val="004C3DE9"/>
    <w:rsid w:val="004E078D"/>
    <w:rsid w:val="004E7F7D"/>
    <w:rsid w:val="004F249A"/>
    <w:rsid w:val="004F3F76"/>
    <w:rsid w:val="004F4A42"/>
    <w:rsid w:val="004F7796"/>
    <w:rsid w:val="005003EF"/>
    <w:rsid w:val="00506353"/>
    <w:rsid w:val="005138D6"/>
    <w:rsid w:val="0051562A"/>
    <w:rsid w:val="005160DB"/>
    <w:rsid w:val="00531F2D"/>
    <w:rsid w:val="00537208"/>
    <w:rsid w:val="00541BE4"/>
    <w:rsid w:val="0054345A"/>
    <w:rsid w:val="00543F38"/>
    <w:rsid w:val="0054702A"/>
    <w:rsid w:val="005473FB"/>
    <w:rsid w:val="00547985"/>
    <w:rsid w:val="00550B37"/>
    <w:rsid w:val="00553B31"/>
    <w:rsid w:val="005605CC"/>
    <w:rsid w:val="00560CDA"/>
    <w:rsid w:val="0056268B"/>
    <w:rsid w:val="00564B31"/>
    <w:rsid w:val="00565BDE"/>
    <w:rsid w:val="005663E5"/>
    <w:rsid w:val="00574CEF"/>
    <w:rsid w:val="00581725"/>
    <w:rsid w:val="00581CC2"/>
    <w:rsid w:val="00585705"/>
    <w:rsid w:val="00595443"/>
    <w:rsid w:val="00596777"/>
    <w:rsid w:val="005A11AC"/>
    <w:rsid w:val="005A1DA4"/>
    <w:rsid w:val="005A49FF"/>
    <w:rsid w:val="005B048E"/>
    <w:rsid w:val="005C1D4D"/>
    <w:rsid w:val="005C6D55"/>
    <w:rsid w:val="005D25E4"/>
    <w:rsid w:val="005D3B77"/>
    <w:rsid w:val="005D4F28"/>
    <w:rsid w:val="005E223A"/>
    <w:rsid w:val="006059D7"/>
    <w:rsid w:val="006063F4"/>
    <w:rsid w:val="00613AEA"/>
    <w:rsid w:val="00616231"/>
    <w:rsid w:val="00623D0D"/>
    <w:rsid w:val="0062457B"/>
    <w:rsid w:val="0062683A"/>
    <w:rsid w:val="00636845"/>
    <w:rsid w:val="00640FA6"/>
    <w:rsid w:val="00641897"/>
    <w:rsid w:val="006455E2"/>
    <w:rsid w:val="006459DB"/>
    <w:rsid w:val="00654953"/>
    <w:rsid w:val="00663EC3"/>
    <w:rsid w:val="0067023E"/>
    <w:rsid w:val="00672DD3"/>
    <w:rsid w:val="006732CA"/>
    <w:rsid w:val="00674F79"/>
    <w:rsid w:val="006816BC"/>
    <w:rsid w:val="00682301"/>
    <w:rsid w:val="0068268D"/>
    <w:rsid w:val="0068360A"/>
    <w:rsid w:val="00683FCF"/>
    <w:rsid w:val="00684039"/>
    <w:rsid w:val="00684BA6"/>
    <w:rsid w:val="00695E75"/>
    <w:rsid w:val="00697069"/>
    <w:rsid w:val="006B166E"/>
    <w:rsid w:val="006B7C5C"/>
    <w:rsid w:val="006C0F57"/>
    <w:rsid w:val="006C532C"/>
    <w:rsid w:val="006D5979"/>
    <w:rsid w:val="006E02F1"/>
    <w:rsid w:val="006E17E1"/>
    <w:rsid w:val="006E6CF7"/>
    <w:rsid w:val="006F328E"/>
    <w:rsid w:val="006F4CBA"/>
    <w:rsid w:val="006F4FC8"/>
    <w:rsid w:val="006F6262"/>
    <w:rsid w:val="0070178C"/>
    <w:rsid w:val="007020A5"/>
    <w:rsid w:val="007031EE"/>
    <w:rsid w:val="00703A37"/>
    <w:rsid w:val="0070485A"/>
    <w:rsid w:val="00707812"/>
    <w:rsid w:val="0071460F"/>
    <w:rsid w:val="00716332"/>
    <w:rsid w:val="00716E44"/>
    <w:rsid w:val="00723B58"/>
    <w:rsid w:val="0075603A"/>
    <w:rsid w:val="00757FF7"/>
    <w:rsid w:val="00760069"/>
    <w:rsid w:val="00761864"/>
    <w:rsid w:val="00767444"/>
    <w:rsid w:val="0077375D"/>
    <w:rsid w:val="00774291"/>
    <w:rsid w:val="00774499"/>
    <w:rsid w:val="00786B3B"/>
    <w:rsid w:val="007A1110"/>
    <w:rsid w:val="007B0DB8"/>
    <w:rsid w:val="007B1BBC"/>
    <w:rsid w:val="007C1051"/>
    <w:rsid w:val="007C3657"/>
    <w:rsid w:val="007C461A"/>
    <w:rsid w:val="007C6F10"/>
    <w:rsid w:val="007D2C38"/>
    <w:rsid w:val="007D7470"/>
    <w:rsid w:val="007E0364"/>
    <w:rsid w:val="007E5CC3"/>
    <w:rsid w:val="007E7C87"/>
    <w:rsid w:val="007F0D93"/>
    <w:rsid w:val="007F4FD0"/>
    <w:rsid w:val="008004DA"/>
    <w:rsid w:val="008006A4"/>
    <w:rsid w:val="00803B26"/>
    <w:rsid w:val="00806FF9"/>
    <w:rsid w:val="00811082"/>
    <w:rsid w:val="008113BF"/>
    <w:rsid w:val="008122CC"/>
    <w:rsid w:val="00815B98"/>
    <w:rsid w:val="008165D6"/>
    <w:rsid w:val="008214F2"/>
    <w:rsid w:val="008228FA"/>
    <w:rsid w:val="00837DD2"/>
    <w:rsid w:val="008447BD"/>
    <w:rsid w:val="00844D9C"/>
    <w:rsid w:val="00847E65"/>
    <w:rsid w:val="00847EE4"/>
    <w:rsid w:val="008524BD"/>
    <w:rsid w:val="00856CED"/>
    <w:rsid w:val="008601F0"/>
    <w:rsid w:val="00864840"/>
    <w:rsid w:val="008670EB"/>
    <w:rsid w:val="008671CF"/>
    <w:rsid w:val="008726B7"/>
    <w:rsid w:val="008753F5"/>
    <w:rsid w:val="008757EC"/>
    <w:rsid w:val="008768B7"/>
    <w:rsid w:val="00892847"/>
    <w:rsid w:val="008A051A"/>
    <w:rsid w:val="008A05BB"/>
    <w:rsid w:val="008A6962"/>
    <w:rsid w:val="008C2412"/>
    <w:rsid w:val="008C52BC"/>
    <w:rsid w:val="008C5849"/>
    <w:rsid w:val="008D4692"/>
    <w:rsid w:val="008D4F3A"/>
    <w:rsid w:val="008D535D"/>
    <w:rsid w:val="008E2C4F"/>
    <w:rsid w:val="008E6889"/>
    <w:rsid w:val="008F1C2C"/>
    <w:rsid w:val="008F6EB2"/>
    <w:rsid w:val="00902B26"/>
    <w:rsid w:val="00913AB8"/>
    <w:rsid w:val="00914D1E"/>
    <w:rsid w:val="00916A38"/>
    <w:rsid w:val="00920D46"/>
    <w:rsid w:val="00927034"/>
    <w:rsid w:val="0092785E"/>
    <w:rsid w:val="00935835"/>
    <w:rsid w:val="00935C1C"/>
    <w:rsid w:val="00937E5E"/>
    <w:rsid w:val="00940B4E"/>
    <w:rsid w:val="009413E8"/>
    <w:rsid w:val="00943630"/>
    <w:rsid w:val="00945410"/>
    <w:rsid w:val="0094737F"/>
    <w:rsid w:val="00950B08"/>
    <w:rsid w:val="00955246"/>
    <w:rsid w:val="00956D90"/>
    <w:rsid w:val="009608D0"/>
    <w:rsid w:val="0096238A"/>
    <w:rsid w:val="009671EB"/>
    <w:rsid w:val="0097573C"/>
    <w:rsid w:val="00981302"/>
    <w:rsid w:val="009826A3"/>
    <w:rsid w:val="009B533D"/>
    <w:rsid w:val="009B5B95"/>
    <w:rsid w:val="009B62F6"/>
    <w:rsid w:val="009C1B74"/>
    <w:rsid w:val="009C6C78"/>
    <w:rsid w:val="009D0F88"/>
    <w:rsid w:val="009D4A86"/>
    <w:rsid w:val="009E1BB5"/>
    <w:rsid w:val="009E2DA7"/>
    <w:rsid w:val="009E4418"/>
    <w:rsid w:val="009E5B25"/>
    <w:rsid w:val="009F1D0E"/>
    <w:rsid w:val="009F28CD"/>
    <w:rsid w:val="009F526B"/>
    <w:rsid w:val="00A05990"/>
    <w:rsid w:val="00A202BB"/>
    <w:rsid w:val="00A22D8E"/>
    <w:rsid w:val="00A252F3"/>
    <w:rsid w:val="00A277F5"/>
    <w:rsid w:val="00A31D1E"/>
    <w:rsid w:val="00A34AE7"/>
    <w:rsid w:val="00A350CB"/>
    <w:rsid w:val="00A43E78"/>
    <w:rsid w:val="00A478E0"/>
    <w:rsid w:val="00A50AAB"/>
    <w:rsid w:val="00A50D7A"/>
    <w:rsid w:val="00A51F39"/>
    <w:rsid w:val="00A51F5B"/>
    <w:rsid w:val="00A613CA"/>
    <w:rsid w:val="00A61675"/>
    <w:rsid w:val="00A657CB"/>
    <w:rsid w:val="00A72378"/>
    <w:rsid w:val="00A74A84"/>
    <w:rsid w:val="00A767A4"/>
    <w:rsid w:val="00A81885"/>
    <w:rsid w:val="00A94597"/>
    <w:rsid w:val="00A97CEC"/>
    <w:rsid w:val="00AA4B29"/>
    <w:rsid w:val="00AA6326"/>
    <w:rsid w:val="00AB196D"/>
    <w:rsid w:val="00AB3450"/>
    <w:rsid w:val="00AB4D7F"/>
    <w:rsid w:val="00AB662D"/>
    <w:rsid w:val="00AC09DC"/>
    <w:rsid w:val="00AC3F93"/>
    <w:rsid w:val="00AC42CB"/>
    <w:rsid w:val="00AC6CE3"/>
    <w:rsid w:val="00AD36C3"/>
    <w:rsid w:val="00AE12A4"/>
    <w:rsid w:val="00AE239E"/>
    <w:rsid w:val="00AE44D2"/>
    <w:rsid w:val="00AE6E35"/>
    <w:rsid w:val="00AF2B31"/>
    <w:rsid w:val="00B003D7"/>
    <w:rsid w:val="00B03426"/>
    <w:rsid w:val="00B07B3A"/>
    <w:rsid w:val="00B12431"/>
    <w:rsid w:val="00B12A27"/>
    <w:rsid w:val="00B14088"/>
    <w:rsid w:val="00B21D0E"/>
    <w:rsid w:val="00B27322"/>
    <w:rsid w:val="00B277D0"/>
    <w:rsid w:val="00B337C0"/>
    <w:rsid w:val="00B379A1"/>
    <w:rsid w:val="00B44E95"/>
    <w:rsid w:val="00B547E2"/>
    <w:rsid w:val="00B548B2"/>
    <w:rsid w:val="00B5613C"/>
    <w:rsid w:val="00B56391"/>
    <w:rsid w:val="00B620C3"/>
    <w:rsid w:val="00B624F8"/>
    <w:rsid w:val="00B650EF"/>
    <w:rsid w:val="00B66656"/>
    <w:rsid w:val="00B701B5"/>
    <w:rsid w:val="00B70BD4"/>
    <w:rsid w:val="00B72EE2"/>
    <w:rsid w:val="00B75E24"/>
    <w:rsid w:val="00B77BB8"/>
    <w:rsid w:val="00B83E97"/>
    <w:rsid w:val="00B8717F"/>
    <w:rsid w:val="00B90A6B"/>
    <w:rsid w:val="00B933E0"/>
    <w:rsid w:val="00BA23B8"/>
    <w:rsid w:val="00BA2725"/>
    <w:rsid w:val="00BA46F6"/>
    <w:rsid w:val="00BA4C48"/>
    <w:rsid w:val="00BA6C54"/>
    <w:rsid w:val="00BC1C99"/>
    <w:rsid w:val="00BD0301"/>
    <w:rsid w:val="00BD3B33"/>
    <w:rsid w:val="00BD5D12"/>
    <w:rsid w:val="00BE0013"/>
    <w:rsid w:val="00BE3B10"/>
    <w:rsid w:val="00BF63AF"/>
    <w:rsid w:val="00C205AA"/>
    <w:rsid w:val="00C21046"/>
    <w:rsid w:val="00C2270F"/>
    <w:rsid w:val="00C2608C"/>
    <w:rsid w:val="00C32953"/>
    <w:rsid w:val="00C352A1"/>
    <w:rsid w:val="00C47209"/>
    <w:rsid w:val="00C47AD3"/>
    <w:rsid w:val="00C50EF8"/>
    <w:rsid w:val="00C55AD9"/>
    <w:rsid w:val="00C60B94"/>
    <w:rsid w:val="00C62D2C"/>
    <w:rsid w:val="00C64B17"/>
    <w:rsid w:val="00C82CB7"/>
    <w:rsid w:val="00C84282"/>
    <w:rsid w:val="00C84478"/>
    <w:rsid w:val="00C90329"/>
    <w:rsid w:val="00C97703"/>
    <w:rsid w:val="00CA33A0"/>
    <w:rsid w:val="00CA3EB4"/>
    <w:rsid w:val="00CA60CE"/>
    <w:rsid w:val="00CB07E3"/>
    <w:rsid w:val="00CB2D7D"/>
    <w:rsid w:val="00CB42B9"/>
    <w:rsid w:val="00CB5D31"/>
    <w:rsid w:val="00CC3D6D"/>
    <w:rsid w:val="00CD2407"/>
    <w:rsid w:val="00CD441C"/>
    <w:rsid w:val="00CD7288"/>
    <w:rsid w:val="00CE2092"/>
    <w:rsid w:val="00CE5BA2"/>
    <w:rsid w:val="00CE5D69"/>
    <w:rsid w:val="00CF434E"/>
    <w:rsid w:val="00CF4536"/>
    <w:rsid w:val="00CF74AF"/>
    <w:rsid w:val="00CF7989"/>
    <w:rsid w:val="00CF7FAD"/>
    <w:rsid w:val="00D02495"/>
    <w:rsid w:val="00D04F96"/>
    <w:rsid w:val="00D05F9C"/>
    <w:rsid w:val="00D11A9A"/>
    <w:rsid w:val="00D23DDF"/>
    <w:rsid w:val="00D25C69"/>
    <w:rsid w:val="00D265D9"/>
    <w:rsid w:val="00D46A09"/>
    <w:rsid w:val="00D46A8F"/>
    <w:rsid w:val="00D46AAE"/>
    <w:rsid w:val="00D474B9"/>
    <w:rsid w:val="00D47E91"/>
    <w:rsid w:val="00D50B14"/>
    <w:rsid w:val="00D511E7"/>
    <w:rsid w:val="00D53A46"/>
    <w:rsid w:val="00D57853"/>
    <w:rsid w:val="00D61081"/>
    <w:rsid w:val="00D67678"/>
    <w:rsid w:val="00D676E0"/>
    <w:rsid w:val="00D67EDD"/>
    <w:rsid w:val="00D77461"/>
    <w:rsid w:val="00D85D9C"/>
    <w:rsid w:val="00D9117D"/>
    <w:rsid w:val="00D9128E"/>
    <w:rsid w:val="00D9634E"/>
    <w:rsid w:val="00DB5732"/>
    <w:rsid w:val="00DC16D8"/>
    <w:rsid w:val="00DC508C"/>
    <w:rsid w:val="00DC61D4"/>
    <w:rsid w:val="00DC75A3"/>
    <w:rsid w:val="00DD3DFE"/>
    <w:rsid w:val="00DE45A8"/>
    <w:rsid w:val="00DE4EF9"/>
    <w:rsid w:val="00DF7008"/>
    <w:rsid w:val="00E01DAB"/>
    <w:rsid w:val="00E05820"/>
    <w:rsid w:val="00E1546A"/>
    <w:rsid w:val="00E2184C"/>
    <w:rsid w:val="00E220CF"/>
    <w:rsid w:val="00E2294E"/>
    <w:rsid w:val="00E22C3F"/>
    <w:rsid w:val="00E25D43"/>
    <w:rsid w:val="00E279D4"/>
    <w:rsid w:val="00E304F5"/>
    <w:rsid w:val="00E32AAA"/>
    <w:rsid w:val="00E331C7"/>
    <w:rsid w:val="00E57BB1"/>
    <w:rsid w:val="00E60CDD"/>
    <w:rsid w:val="00E6570B"/>
    <w:rsid w:val="00E709EB"/>
    <w:rsid w:val="00E81015"/>
    <w:rsid w:val="00E82568"/>
    <w:rsid w:val="00E87D11"/>
    <w:rsid w:val="00E90968"/>
    <w:rsid w:val="00EA211B"/>
    <w:rsid w:val="00EA3349"/>
    <w:rsid w:val="00EA3461"/>
    <w:rsid w:val="00EA4F71"/>
    <w:rsid w:val="00EA740B"/>
    <w:rsid w:val="00EB364C"/>
    <w:rsid w:val="00EB704E"/>
    <w:rsid w:val="00EC3B99"/>
    <w:rsid w:val="00EC6B13"/>
    <w:rsid w:val="00EC7640"/>
    <w:rsid w:val="00ED0941"/>
    <w:rsid w:val="00ED3EDD"/>
    <w:rsid w:val="00ED6F70"/>
    <w:rsid w:val="00ED7DA4"/>
    <w:rsid w:val="00EE21FC"/>
    <w:rsid w:val="00EE605F"/>
    <w:rsid w:val="00F00059"/>
    <w:rsid w:val="00F02BD6"/>
    <w:rsid w:val="00F031EF"/>
    <w:rsid w:val="00F037A8"/>
    <w:rsid w:val="00F16666"/>
    <w:rsid w:val="00F21183"/>
    <w:rsid w:val="00F229F0"/>
    <w:rsid w:val="00F22B40"/>
    <w:rsid w:val="00F23AA8"/>
    <w:rsid w:val="00F26FF8"/>
    <w:rsid w:val="00F271D5"/>
    <w:rsid w:val="00F32A4E"/>
    <w:rsid w:val="00F40F9D"/>
    <w:rsid w:val="00F428F3"/>
    <w:rsid w:val="00F449E7"/>
    <w:rsid w:val="00F4667C"/>
    <w:rsid w:val="00F54096"/>
    <w:rsid w:val="00F563FA"/>
    <w:rsid w:val="00F67666"/>
    <w:rsid w:val="00F703EA"/>
    <w:rsid w:val="00F70FF0"/>
    <w:rsid w:val="00F74EB0"/>
    <w:rsid w:val="00F7634D"/>
    <w:rsid w:val="00F829FD"/>
    <w:rsid w:val="00F830F6"/>
    <w:rsid w:val="00F860F1"/>
    <w:rsid w:val="00F94419"/>
    <w:rsid w:val="00F9526F"/>
    <w:rsid w:val="00FA47F6"/>
    <w:rsid w:val="00FB3310"/>
    <w:rsid w:val="00FC13E0"/>
    <w:rsid w:val="00FC2423"/>
    <w:rsid w:val="00FC412E"/>
    <w:rsid w:val="00FC6CF0"/>
    <w:rsid w:val="00FD287A"/>
    <w:rsid w:val="00FE062B"/>
    <w:rsid w:val="00FF2C01"/>
    <w:rsid w:val="00FF32D8"/>
    <w:rsid w:val="00FF4CE3"/>
    <w:rsid w:val="00FF66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380C6D"/>
  <w15:docId w15:val="{5EE5CD83-4C55-41E4-9D09-45336E91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outlineLvl w:val="1"/>
    </w:pPr>
    <w:rPr>
      <w:color w:val="000000"/>
      <w:sz w:val="24"/>
    </w:rPr>
  </w:style>
  <w:style w:type="paragraph" w:styleId="Heading3">
    <w:name w:val="heading 3"/>
    <w:basedOn w:val="Normal"/>
    <w:next w:val="Normal"/>
    <w:link w:val="Heading3Char"/>
    <w:semiHidden/>
    <w:unhideWhenUsed/>
    <w:qFormat/>
    <w:rsid w:val="00C64B1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EndnoteText">
    <w:name w:val="endnote text"/>
    <w:basedOn w:val="Normal"/>
    <w:semiHidden/>
  </w:style>
  <w:style w:type="character" w:styleId="EndnoteReference">
    <w:name w:val="endnote reference"/>
    <w:semiHidden/>
    <w:rPr>
      <w:vertAlign w:val="superscript"/>
    </w:rPr>
  </w:style>
  <w:style w:type="character" w:styleId="FollowedHyperlink">
    <w:name w:val="FollowedHyperlink"/>
    <w:rPr>
      <w:color w:val="800080"/>
      <w:u w:val="single"/>
    </w:rPr>
  </w:style>
  <w:style w:type="paragraph" w:styleId="PlainText">
    <w:name w:val="Plain Text"/>
    <w:basedOn w:val="Normal"/>
    <w:link w:val="PlainTextChar"/>
    <w:uiPriority w:val="99"/>
    <w:unhideWhenUsed/>
    <w:rsid w:val="002A0EB4"/>
    <w:rPr>
      <w:rFonts w:ascii="Calibri" w:eastAsia="Calibri" w:hAnsi="Calibri"/>
      <w:sz w:val="22"/>
      <w:szCs w:val="21"/>
    </w:rPr>
  </w:style>
  <w:style w:type="character" w:customStyle="1" w:styleId="PlainTextChar">
    <w:name w:val="Plain Text Char"/>
    <w:link w:val="PlainText"/>
    <w:uiPriority w:val="99"/>
    <w:rsid w:val="002A0EB4"/>
    <w:rPr>
      <w:rFonts w:ascii="Calibri" w:eastAsia="Calibri" w:hAnsi="Calibri"/>
      <w:sz w:val="22"/>
      <w:szCs w:val="21"/>
      <w:lang w:eastAsia="en-US"/>
    </w:rPr>
  </w:style>
  <w:style w:type="character" w:styleId="PageNumber">
    <w:name w:val="page number"/>
    <w:rsid w:val="00D9634E"/>
  </w:style>
  <w:style w:type="character" w:customStyle="1" w:styleId="apple-converted-space">
    <w:name w:val="apple-converted-space"/>
    <w:rsid w:val="008D4692"/>
  </w:style>
  <w:style w:type="paragraph" w:styleId="NormalWeb">
    <w:name w:val="Normal (Web)"/>
    <w:basedOn w:val="Normal"/>
    <w:uiPriority w:val="99"/>
    <w:unhideWhenUsed/>
    <w:rsid w:val="00940B4E"/>
    <w:pPr>
      <w:spacing w:before="100" w:beforeAutospacing="1" w:after="100" w:afterAutospacing="1"/>
    </w:pPr>
    <w:rPr>
      <w:sz w:val="24"/>
      <w:szCs w:val="24"/>
      <w:lang w:eastAsia="hr-HR"/>
    </w:rPr>
  </w:style>
  <w:style w:type="character" w:styleId="Emphasis">
    <w:name w:val="Emphasis"/>
    <w:uiPriority w:val="20"/>
    <w:qFormat/>
    <w:rsid w:val="00940B4E"/>
    <w:rPr>
      <w:i/>
      <w:iCs/>
    </w:rPr>
  </w:style>
  <w:style w:type="character" w:styleId="Strong">
    <w:name w:val="Strong"/>
    <w:uiPriority w:val="22"/>
    <w:qFormat/>
    <w:rsid w:val="003224B2"/>
    <w:rPr>
      <w:b/>
      <w:bCs/>
    </w:rPr>
  </w:style>
  <w:style w:type="paragraph" w:customStyle="1" w:styleId="Default">
    <w:name w:val="Default"/>
    <w:rsid w:val="008A6962"/>
    <w:pPr>
      <w:autoSpaceDE w:val="0"/>
      <w:autoSpaceDN w:val="0"/>
      <w:adjustRightInd w:val="0"/>
    </w:pPr>
    <w:rPr>
      <w:color w:val="000000"/>
      <w:sz w:val="24"/>
      <w:szCs w:val="24"/>
    </w:rPr>
  </w:style>
  <w:style w:type="paragraph" w:styleId="BalloonText">
    <w:name w:val="Balloon Text"/>
    <w:basedOn w:val="Normal"/>
    <w:link w:val="BalloonTextChar"/>
    <w:rsid w:val="001F4113"/>
    <w:rPr>
      <w:rFonts w:ascii="Tahoma" w:hAnsi="Tahoma" w:cs="Tahoma"/>
      <w:sz w:val="16"/>
      <w:szCs w:val="16"/>
    </w:rPr>
  </w:style>
  <w:style w:type="character" w:customStyle="1" w:styleId="BalloonTextChar">
    <w:name w:val="Balloon Text Char"/>
    <w:basedOn w:val="DefaultParagraphFont"/>
    <w:link w:val="BalloonText"/>
    <w:rsid w:val="001F4113"/>
    <w:rPr>
      <w:rFonts w:ascii="Tahoma" w:hAnsi="Tahoma" w:cs="Tahoma"/>
      <w:sz w:val="16"/>
      <w:szCs w:val="16"/>
      <w:lang w:eastAsia="en-US"/>
    </w:rPr>
  </w:style>
  <w:style w:type="paragraph" w:styleId="NoSpacing">
    <w:name w:val="No Spacing"/>
    <w:uiPriority w:val="1"/>
    <w:qFormat/>
    <w:rsid w:val="00454391"/>
    <w:rPr>
      <w:lang w:eastAsia="en-US"/>
    </w:rPr>
  </w:style>
  <w:style w:type="paragraph" w:customStyle="1" w:styleId="gmail-western">
    <w:name w:val="gmail-western"/>
    <w:basedOn w:val="Normal"/>
    <w:rsid w:val="009B5B95"/>
    <w:pPr>
      <w:spacing w:before="100" w:beforeAutospacing="1" w:after="100" w:afterAutospacing="1"/>
    </w:pPr>
    <w:rPr>
      <w:rFonts w:eastAsiaTheme="minorHAnsi"/>
      <w:sz w:val="24"/>
      <w:szCs w:val="24"/>
      <w:lang w:eastAsia="hr-HR"/>
    </w:rPr>
  </w:style>
  <w:style w:type="paragraph" w:customStyle="1" w:styleId="s3">
    <w:name w:val="s3"/>
    <w:basedOn w:val="Normal"/>
    <w:rsid w:val="00F23AA8"/>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F23AA8"/>
  </w:style>
  <w:style w:type="table" w:styleId="TableGrid">
    <w:name w:val="Table Grid"/>
    <w:basedOn w:val="TableNormal"/>
    <w:uiPriority w:val="39"/>
    <w:rsid w:val="00E058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E05820"/>
    <w:pPr>
      <w:spacing w:after="240" w:line="276" w:lineRule="auto"/>
      <w:ind w:left="360"/>
      <w:jc w:val="both"/>
    </w:pPr>
    <w:rPr>
      <w:sz w:val="32"/>
      <w:szCs w:val="28"/>
    </w:rPr>
  </w:style>
  <w:style w:type="character" w:customStyle="1" w:styleId="BodyTextIndentChar">
    <w:name w:val="Body Text Indent Char"/>
    <w:basedOn w:val="DefaultParagraphFont"/>
    <w:link w:val="BodyTextIndent"/>
    <w:uiPriority w:val="99"/>
    <w:rsid w:val="00E05820"/>
    <w:rPr>
      <w:sz w:val="32"/>
      <w:szCs w:val="28"/>
      <w:lang w:eastAsia="en-US"/>
    </w:rPr>
  </w:style>
  <w:style w:type="paragraph" w:styleId="BodyText">
    <w:name w:val="Body Text"/>
    <w:basedOn w:val="Normal"/>
    <w:link w:val="BodyTextChar"/>
    <w:uiPriority w:val="99"/>
    <w:unhideWhenUsed/>
    <w:rsid w:val="00E05820"/>
    <w:pPr>
      <w:spacing w:after="160" w:line="259" w:lineRule="auto"/>
      <w:jc w:val="center"/>
    </w:pPr>
    <w:rPr>
      <w:rFonts w:eastAsiaTheme="minorHAnsi"/>
      <w:b/>
      <w:sz w:val="34"/>
      <w:szCs w:val="34"/>
    </w:rPr>
  </w:style>
  <w:style w:type="character" w:customStyle="1" w:styleId="BodyTextChar">
    <w:name w:val="Body Text Char"/>
    <w:basedOn w:val="DefaultParagraphFont"/>
    <w:link w:val="BodyText"/>
    <w:uiPriority w:val="99"/>
    <w:rsid w:val="00E05820"/>
    <w:rPr>
      <w:rFonts w:eastAsiaTheme="minorHAnsi"/>
      <w:b/>
      <w:sz w:val="34"/>
      <w:szCs w:val="34"/>
      <w:lang w:eastAsia="en-US"/>
    </w:rPr>
  </w:style>
  <w:style w:type="paragraph" w:styleId="BodyTextIndent2">
    <w:name w:val="Body Text Indent 2"/>
    <w:basedOn w:val="Normal"/>
    <w:link w:val="BodyTextIndent2Char"/>
    <w:uiPriority w:val="99"/>
    <w:unhideWhenUsed/>
    <w:rsid w:val="00E05820"/>
    <w:pPr>
      <w:keepLines/>
      <w:spacing w:after="120" w:line="276" w:lineRule="auto"/>
      <w:ind w:left="68"/>
      <w:jc w:val="both"/>
    </w:pPr>
    <w:rPr>
      <w:rFonts w:eastAsiaTheme="minorHAnsi"/>
      <w:sz w:val="28"/>
      <w:szCs w:val="32"/>
    </w:rPr>
  </w:style>
  <w:style w:type="character" w:customStyle="1" w:styleId="BodyTextIndent2Char">
    <w:name w:val="Body Text Indent 2 Char"/>
    <w:basedOn w:val="DefaultParagraphFont"/>
    <w:link w:val="BodyTextIndent2"/>
    <w:uiPriority w:val="99"/>
    <w:rsid w:val="00E05820"/>
    <w:rPr>
      <w:rFonts w:eastAsiaTheme="minorHAnsi"/>
      <w:sz w:val="28"/>
      <w:szCs w:val="32"/>
      <w:lang w:eastAsia="en-US"/>
    </w:rPr>
  </w:style>
  <w:style w:type="paragraph" w:customStyle="1" w:styleId="s12">
    <w:name w:val="s12"/>
    <w:basedOn w:val="Normal"/>
    <w:uiPriority w:val="99"/>
    <w:rsid w:val="00E279D4"/>
    <w:pPr>
      <w:spacing w:before="100" w:beforeAutospacing="1" w:after="100" w:afterAutospacing="1"/>
    </w:pPr>
    <w:rPr>
      <w:rFonts w:eastAsiaTheme="minorHAnsi"/>
      <w:sz w:val="24"/>
      <w:szCs w:val="24"/>
      <w:lang w:eastAsia="hr-HR"/>
    </w:rPr>
  </w:style>
  <w:style w:type="paragraph" w:customStyle="1" w:styleId="s13">
    <w:name w:val="s13"/>
    <w:basedOn w:val="Normal"/>
    <w:uiPriority w:val="99"/>
    <w:semiHidden/>
    <w:rsid w:val="00E279D4"/>
    <w:pPr>
      <w:spacing w:before="100" w:beforeAutospacing="1" w:after="100" w:afterAutospacing="1"/>
    </w:pPr>
    <w:rPr>
      <w:rFonts w:eastAsiaTheme="minorHAnsi"/>
      <w:sz w:val="24"/>
      <w:szCs w:val="24"/>
      <w:lang w:eastAsia="hr-HR"/>
    </w:rPr>
  </w:style>
  <w:style w:type="character" w:customStyle="1" w:styleId="s14">
    <w:name w:val="s14"/>
    <w:basedOn w:val="DefaultParagraphFont"/>
    <w:rsid w:val="00E279D4"/>
  </w:style>
  <w:style w:type="character" w:customStyle="1" w:styleId="s15">
    <w:name w:val="s15"/>
    <w:basedOn w:val="DefaultParagraphFont"/>
    <w:rsid w:val="00E279D4"/>
  </w:style>
  <w:style w:type="character" w:customStyle="1" w:styleId="Heading3Char">
    <w:name w:val="Heading 3 Char"/>
    <w:basedOn w:val="DefaultParagraphFont"/>
    <w:link w:val="Heading3"/>
    <w:semiHidden/>
    <w:rsid w:val="00C64B1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C64B17"/>
    <w:pPr>
      <w:spacing w:after="160" w:line="252" w:lineRule="auto"/>
      <w:ind w:left="720"/>
      <w:contextualSpacing/>
    </w:pPr>
    <w:rPr>
      <w:rFonts w:ascii="Calibri" w:eastAsiaTheme="minorHAnsi" w:hAnsi="Calibri" w:cs="Calibri"/>
      <w:sz w:val="22"/>
      <w:szCs w:val="22"/>
      <w:lang w:eastAsia="hr-HR"/>
    </w:rPr>
  </w:style>
  <w:style w:type="character" w:customStyle="1" w:styleId="Heading1Char">
    <w:name w:val="Heading 1 Char"/>
    <w:basedOn w:val="DefaultParagraphFont"/>
    <w:link w:val="Heading1"/>
    <w:rsid w:val="007F0D93"/>
    <w:rPr>
      <w:sz w:val="24"/>
      <w:lang w:eastAsia="en-US"/>
    </w:rPr>
  </w:style>
  <w:style w:type="character" w:customStyle="1" w:styleId="FooterChar">
    <w:name w:val="Footer Char"/>
    <w:basedOn w:val="DefaultParagraphFont"/>
    <w:link w:val="Footer"/>
    <w:uiPriority w:val="99"/>
    <w:rsid w:val="00FB331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207">
      <w:bodyDiv w:val="1"/>
      <w:marLeft w:val="0"/>
      <w:marRight w:val="0"/>
      <w:marTop w:val="0"/>
      <w:marBottom w:val="0"/>
      <w:divBdr>
        <w:top w:val="none" w:sz="0" w:space="0" w:color="auto"/>
        <w:left w:val="none" w:sz="0" w:space="0" w:color="auto"/>
        <w:bottom w:val="none" w:sz="0" w:space="0" w:color="auto"/>
        <w:right w:val="none" w:sz="0" w:space="0" w:color="auto"/>
      </w:divBdr>
    </w:div>
    <w:div w:id="10226100">
      <w:bodyDiv w:val="1"/>
      <w:marLeft w:val="0"/>
      <w:marRight w:val="0"/>
      <w:marTop w:val="0"/>
      <w:marBottom w:val="0"/>
      <w:divBdr>
        <w:top w:val="none" w:sz="0" w:space="0" w:color="auto"/>
        <w:left w:val="none" w:sz="0" w:space="0" w:color="auto"/>
        <w:bottom w:val="none" w:sz="0" w:space="0" w:color="auto"/>
        <w:right w:val="none" w:sz="0" w:space="0" w:color="auto"/>
      </w:divBdr>
    </w:div>
    <w:div w:id="207374231">
      <w:bodyDiv w:val="1"/>
      <w:marLeft w:val="0"/>
      <w:marRight w:val="0"/>
      <w:marTop w:val="0"/>
      <w:marBottom w:val="0"/>
      <w:divBdr>
        <w:top w:val="none" w:sz="0" w:space="0" w:color="auto"/>
        <w:left w:val="none" w:sz="0" w:space="0" w:color="auto"/>
        <w:bottom w:val="none" w:sz="0" w:space="0" w:color="auto"/>
        <w:right w:val="none" w:sz="0" w:space="0" w:color="auto"/>
      </w:divBdr>
    </w:div>
    <w:div w:id="270747187">
      <w:bodyDiv w:val="1"/>
      <w:marLeft w:val="0"/>
      <w:marRight w:val="0"/>
      <w:marTop w:val="0"/>
      <w:marBottom w:val="0"/>
      <w:divBdr>
        <w:top w:val="none" w:sz="0" w:space="0" w:color="auto"/>
        <w:left w:val="none" w:sz="0" w:space="0" w:color="auto"/>
        <w:bottom w:val="none" w:sz="0" w:space="0" w:color="auto"/>
        <w:right w:val="none" w:sz="0" w:space="0" w:color="auto"/>
      </w:divBdr>
    </w:div>
    <w:div w:id="451704838">
      <w:bodyDiv w:val="1"/>
      <w:marLeft w:val="0"/>
      <w:marRight w:val="0"/>
      <w:marTop w:val="0"/>
      <w:marBottom w:val="0"/>
      <w:divBdr>
        <w:top w:val="none" w:sz="0" w:space="0" w:color="auto"/>
        <w:left w:val="none" w:sz="0" w:space="0" w:color="auto"/>
        <w:bottom w:val="none" w:sz="0" w:space="0" w:color="auto"/>
        <w:right w:val="none" w:sz="0" w:space="0" w:color="auto"/>
      </w:divBdr>
    </w:div>
    <w:div w:id="524831559">
      <w:bodyDiv w:val="1"/>
      <w:marLeft w:val="0"/>
      <w:marRight w:val="0"/>
      <w:marTop w:val="0"/>
      <w:marBottom w:val="0"/>
      <w:divBdr>
        <w:top w:val="none" w:sz="0" w:space="0" w:color="auto"/>
        <w:left w:val="none" w:sz="0" w:space="0" w:color="auto"/>
        <w:bottom w:val="none" w:sz="0" w:space="0" w:color="auto"/>
        <w:right w:val="none" w:sz="0" w:space="0" w:color="auto"/>
      </w:divBdr>
    </w:div>
    <w:div w:id="539173119">
      <w:bodyDiv w:val="1"/>
      <w:marLeft w:val="0"/>
      <w:marRight w:val="0"/>
      <w:marTop w:val="0"/>
      <w:marBottom w:val="0"/>
      <w:divBdr>
        <w:top w:val="none" w:sz="0" w:space="0" w:color="auto"/>
        <w:left w:val="none" w:sz="0" w:space="0" w:color="auto"/>
        <w:bottom w:val="none" w:sz="0" w:space="0" w:color="auto"/>
        <w:right w:val="none" w:sz="0" w:space="0" w:color="auto"/>
      </w:divBdr>
    </w:div>
    <w:div w:id="597103067">
      <w:bodyDiv w:val="1"/>
      <w:marLeft w:val="0"/>
      <w:marRight w:val="0"/>
      <w:marTop w:val="0"/>
      <w:marBottom w:val="0"/>
      <w:divBdr>
        <w:top w:val="none" w:sz="0" w:space="0" w:color="auto"/>
        <w:left w:val="none" w:sz="0" w:space="0" w:color="auto"/>
        <w:bottom w:val="none" w:sz="0" w:space="0" w:color="auto"/>
        <w:right w:val="none" w:sz="0" w:space="0" w:color="auto"/>
      </w:divBdr>
    </w:div>
    <w:div w:id="769667038">
      <w:bodyDiv w:val="1"/>
      <w:marLeft w:val="0"/>
      <w:marRight w:val="0"/>
      <w:marTop w:val="0"/>
      <w:marBottom w:val="0"/>
      <w:divBdr>
        <w:top w:val="none" w:sz="0" w:space="0" w:color="auto"/>
        <w:left w:val="none" w:sz="0" w:space="0" w:color="auto"/>
        <w:bottom w:val="none" w:sz="0" w:space="0" w:color="auto"/>
        <w:right w:val="none" w:sz="0" w:space="0" w:color="auto"/>
      </w:divBdr>
    </w:div>
    <w:div w:id="857547582">
      <w:bodyDiv w:val="1"/>
      <w:marLeft w:val="0"/>
      <w:marRight w:val="0"/>
      <w:marTop w:val="0"/>
      <w:marBottom w:val="0"/>
      <w:divBdr>
        <w:top w:val="none" w:sz="0" w:space="0" w:color="auto"/>
        <w:left w:val="none" w:sz="0" w:space="0" w:color="auto"/>
        <w:bottom w:val="none" w:sz="0" w:space="0" w:color="auto"/>
        <w:right w:val="none" w:sz="0" w:space="0" w:color="auto"/>
      </w:divBdr>
    </w:div>
    <w:div w:id="866139846">
      <w:bodyDiv w:val="1"/>
      <w:marLeft w:val="0"/>
      <w:marRight w:val="0"/>
      <w:marTop w:val="0"/>
      <w:marBottom w:val="0"/>
      <w:divBdr>
        <w:top w:val="none" w:sz="0" w:space="0" w:color="auto"/>
        <w:left w:val="none" w:sz="0" w:space="0" w:color="auto"/>
        <w:bottom w:val="none" w:sz="0" w:space="0" w:color="auto"/>
        <w:right w:val="none" w:sz="0" w:space="0" w:color="auto"/>
      </w:divBdr>
    </w:div>
    <w:div w:id="986780946">
      <w:bodyDiv w:val="1"/>
      <w:marLeft w:val="0"/>
      <w:marRight w:val="0"/>
      <w:marTop w:val="0"/>
      <w:marBottom w:val="0"/>
      <w:divBdr>
        <w:top w:val="none" w:sz="0" w:space="0" w:color="auto"/>
        <w:left w:val="none" w:sz="0" w:space="0" w:color="auto"/>
        <w:bottom w:val="none" w:sz="0" w:space="0" w:color="auto"/>
        <w:right w:val="none" w:sz="0" w:space="0" w:color="auto"/>
      </w:divBdr>
    </w:div>
    <w:div w:id="1040129592">
      <w:bodyDiv w:val="1"/>
      <w:marLeft w:val="0"/>
      <w:marRight w:val="0"/>
      <w:marTop w:val="0"/>
      <w:marBottom w:val="0"/>
      <w:divBdr>
        <w:top w:val="none" w:sz="0" w:space="0" w:color="auto"/>
        <w:left w:val="none" w:sz="0" w:space="0" w:color="auto"/>
        <w:bottom w:val="none" w:sz="0" w:space="0" w:color="auto"/>
        <w:right w:val="none" w:sz="0" w:space="0" w:color="auto"/>
      </w:divBdr>
    </w:div>
    <w:div w:id="1221407648">
      <w:bodyDiv w:val="1"/>
      <w:marLeft w:val="0"/>
      <w:marRight w:val="0"/>
      <w:marTop w:val="0"/>
      <w:marBottom w:val="0"/>
      <w:divBdr>
        <w:top w:val="none" w:sz="0" w:space="0" w:color="auto"/>
        <w:left w:val="none" w:sz="0" w:space="0" w:color="auto"/>
        <w:bottom w:val="none" w:sz="0" w:space="0" w:color="auto"/>
        <w:right w:val="none" w:sz="0" w:space="0" w:color="auto"/>
      </w:divBdr>
    </w:div>
    <w:div w:id="1224949096">
      <w:bodyDiv w:val="1"/>
      <w:marLeft w:val="0"/>
      <w:marRight w:val="0"/>
      <w:marTop w:val="0"/>
      <w:marBottom w:val="0"/>
      <w:divBdr>
        <w:top w:val="none" w:sz="0" w:space="0" w:color="auto"/>
        <w:left w:val="none" w:sz="0" w:space="0" w:color="auto"/>
        <w:bottom w:val="none" w:sz="0" w:space="0" w:color="auto"/>
        <w:right w:val="none" w:sz="0" w:space="0" w:color="auto"/>
      </w:divBdr>
    </w:div>
    <w:div w:id="1247617676">
      <w:bodyDiv w:val="1"/>
      <w:marLeft w:val="0"/>
      <w:marRight w:val="0"/>
      <w:marTop w:val="0"/>
      <w:marBottom w:val="0"/>
      <w:divBdr>
        <w:top w:val="none" w:sz="0" w:space="0" w:color="auto"/>
        <w:left w:val="none" w:sz="0" w:space="0" w:color="auto"/>
        <w:bottom w:val="none" w:sz="0" w:space="0" w:color="auto"/>
        <w:right w:val="none" w:sz="0" w:space="0" w:color="auto"/>
      </w:divBdr>
    </w:div>
    <w:div w:id="1271081798">
      <w:bodyDiv w:val="1"/>
      <w:marLeft w:val="0"/>
      <w:marRight w:val="0"/>
      <w:marTop w:val="0"/>
      <w:marBottom w:val="0"/>
      <w:divBdr>
        <w:top w:val="none" w:sz="0" w:space="0" w:color="auto"/>
        <w:left w:val="none" w:sz="0" w:space="0" w:color="auto"/>
        <w:bottom w:val="none" w:sz="0" w:space="0" w:color="auto"/>
        <w:right w:val="none" w:sz="0" w:space="0" w:color="auto"/>
      </w:divBdr>
    </w:div>
    <w:div w:id="1392271403">
      <w:bodyDiv w:val="1"/>
      <w:marLeft w:val="0"/>
      <w:marRight w:val="0"/>
      <w:marTop w:val="0"/>
      <w:marBottom w:val="0"/>
      <w:divBdr>
        <w:top w:val="none" w:sz="0" w:space="0" w:color="auto"/>
        <w:left w:val="none" w:sz="0" w:space="0" w:color="auto"/>
        <w:bottom w:val="none" w:sz="0" w:space="0" w:color="auto"/>
        <w:right w:val="none" w:sz="0" w:space="0" w:color="auto"/>
      </w:divBdr>
    </w:div>
    <w:div w:id="1397818139">
      <w:bodyDiv w:val="1"/>
      <w:marLeft w:val="0"/>
      <w:marRight w:val="0"/>
      <w:marTop w:val="0"/>
      <w:marBottom w:val="0"/>
      <w:divBdr>
        <w:top w:val="none" w:sz="0" w:space="0" w:color="auto"/>
        <w:left w:val="none" w:sz="0" w:space="0" w:color="auto"/>
        <w:bottom w:val="none" w:sz="0" w:space="0" w:color="auto"/>
        <w:right w:val="none" w:sz="0" w:space="0" w:color="auto"/>
      </w:divBdr>
    </w:div>
    <w:div w:id="1409887975">
      <w:bodyDiv w:val="1"/>
      <w:marLeft w:val="0"/>
      <w:marRight w:val="0"/>
      <w:marTop w:val="0"/>
      <w:marBottom w:val="0"/>
      <w:divBdr>
        <w:top w:val="none" w:sz="0" w:space="0" w:color="auto"/>
        <w:left w:val="none" w:sz="0" w:space="0" w:color="auto"/>
        <w:bottom w:val="none" w:sz="0" w:space="0" w:color="auto"/>
        <w:right w:val="none" w:sz="0" w:space="0" w:color="auto"/>
      </w:divBdr>
    </w:div>
    <w:div w:id="1470826982">
      <w:bodyDiv w:val="1"/>
      <w:marLeft w:val="0"/>
      <w:marRight w:val="0"/>
      <w:marTop w:val="0"/>
      <w:marBottom w:val="0"/>
      <w:divBdr>
        <w:top w:val="none" w:sz="0" w:space="0" w:color="auto"/>
        <w:left w:val="none" w:sz="0" w:space="0" w:color="auto"/>
        <w:bottom w:val="none" w:sz="0" w:space="0" w:color="auto"/>
        <w:right w:val="none" w:sz="0" w:space="0" w:color="auto"/>
      </w:divBdr>
    </w:div>
    <w:div w:id="1476484600">
      <w:bodyDiv w:val="1"/>
      <w:marLeft w:val="0"/>
      <w:marRight w:val="0"/>
      <w:marTop w:val="0"/>
      <w:marBottom w:val="0"/>
      <w:divBdr>
        <w:top w:val="none" w:sz="0" w:space="0" w:color="auto"/>
        <w:left w:val="none" w:sz="0" w:space="0" w:color="auto"/>
        <w:bottom w:val="none" w:sz="0" w:space="0" w:color="auto"/>
        <w:right w:val="none" w:sz="0" w:space="0" w:color="auto"/>
      </w:divBdr>
    </w:div>
    <w:div w:id="1493830960">
      <w:bodyDiv w:val="1"/>
      <w:marLeft w:val="0"/>
      <w:marRight w:val="0"/>
      <w:marTop w:val="0"/>
      <w:marBottom w:val="0"/>
      <w:divBdr>
        <w:top w:val="none" w:sz="0" w:space="0" w:color="auto"/>
        <w:left w:val="none" w:sz="0" w:space="0" w:color="auto"/>
        <w:bottom w:val="none" w:sz="0" w:space="0" w:color="auto"/>
        <w:right w:val="none" w:sz="0" w:space="0" w:color="auto"/>
      </w:divBdr>
    </w:div>
    <w:div w:id="1512451678">
      <w:bodyDiv w:val="1"/>
      <w:marLeft w:val="0"/>
      <w:marRight w:val="0"/>
      <w:marTop w:val="0"/>
      <w:marBottom w:val="0"/>
      <w:divBdr>
        <w:top w:val="none" w:sz="0" w:space="0" w:color="auto"/>
        <w:left w:val="none" w:sz="0" w:space="0" w:color="auto"/>
        <w:bottom w:val="none" w:sz="0" w:space="0" w:color="auto"/>
        <w:right w:val="none" w:sz="0" w:space="0" w:color="auto"/>
      </w:divBdr>
    </w:div>
    <w:div w:id="1532839180">
      <w:bodyDiv w:val="1"/>
      <w:marLeft w:val="0"/>
      <w:marRight w:val="0"/>
      <w:marTop w:val="0"/>
      <w:marBottom w:val="0"/>
      <w:divBdr>
        <w:top w:val="none" w:sz="0" w:space="0" w:color="auto"/>
        <w:left w:val="none" w:sz="0" w:space="0" w:color="auto"/>
        <w:bottom w:val="none" w:sz="0" w:space="0" w:color="auto"/>
        <w:right w:val="none" w:sz="0" w:space="0" w:color="auto"/>
      </w:divBdr>
    </w:div>
    <w:div w:id="1552226532">
      <w:bodyDiv w:val="1"/>
      <w:marLeft w:val="0"/>
      <w:marRight w:val="0"/>
      <w:marTop w:val="0"/>
      <w:marBottom w:val="0"/>
      <w:divBdr>
        <w:top w:val="none" w:sz="0" w:space="0" w:color="auto"/>
        <w:left w:val="none" w:sz="0" w:space="0" w:color="auto"/>
        <w:bottom w:val="none" w:sz="0" w:space="0" w:color="auto"/>
        <w:right w:val="none" w:sz="0" w:space="0" w:color="auto"/>
      </w:divBdr>
    </w:div>
    <w:div w:id="1563980276">
      <w:bodyDiv w:val="1"/>
      <w:marLeft w:val="0"/>
      <w:marRight w:val="0"/>
      <w:marTop w:val="0"/>
      <w:marBottom w:val="0"/>
      <w:divBdr>
        <w:top w:val="none" w:sz="0" w:space="0" w:color="auto"/>
        <w:left w:val="none" w:sz="0" w:space="0" w:color="auto"/>
        <w:bottom w:val="none" w:sz="0" w:space="0" w:color="auto"/>
        <w:right w:val="none" w:sz="0" w:space="0" w:color="auto"/>
      </w:divBdr>
    </w:div>
    <w:div w:id="1567034699">
      <w:bodyDiv w:val="1"/>
      <w:marLeft w:val="0"/>
      <w:marRight w:val="0"/>
      <w:marTop w:val="0"/>
      <w:marBottom w:val="0"/>
      <w:divBdr>
        <w:top w:val="none" w:sz="0" w:space="0" w:color="auto"/>
        <w:left w:val="none" w:sz="0" w:space="0" w:color="auto"/>
        <w:bottom w:val="none" w:sz="0" w:space="0" w:color="auto"/>
        <w:right w:val="none" w:sz="0" w:space="0" w:color="auto"/>
      </w:divBdr>
    </w:div>
    <w:div w:id="1652832802">
      <w:bodyDiv w:val="1"/>
      <w:marLeft w:val="0"/>
      <w:marRight w:val="0"/>
      <w:marTop w:val="0"/>
      <w:marBottom w:val="0"/>
      <w:divBdr>
        <w:top w:val="none" w:sz="0" w:space="0" w:color="auto"/>
        <w:left w:val="none" w:sz="0" w:space="0" w:color="auto"/>
        <w:bottom w:val="none" w:sz="0" w:space="0" w:color="auto"/>
        <w:right w:val="none" w:sz="0" w:space="0" w:color="auto"/>
      </w:divBdr>
    </w:div>
    <w:div w:id="1686439937">
      <w:bodyDiv w:val="1"/>
      <w:marLeft w:val="0"/>
      <w:marRight w:val="0"/>
      <w:marTop w:val="0"/>
      <w:marBottom w:val="0"/>
      <w:divBdr>
        <w:top w:val="none" w:sz="0" w:space="0" w:color="auto"/>
        <w:left w:val="none" w:sz="0" w:space="0" w:color="auto"/>
        <w:bottom w:val="none" w:sz="0" w:space="0" w:color="auto"/>
        <w:right w:val="none" w:sz="0" w:space="0" w:color="auto"/>
      </w:divBdr>
    </w:div>
    <w:div w:id="1740008335">
      <w:bodyDiv w:val="1"/>
      <w:marLeft w:val="0"/>
      <w:marRight w:val="0"/>
      <w:marTop w:val="0"/>
      <w:marBottom w:val="0"/>
      <w:divBdr>
        <w:top w:val="none" w:sz="0" w:space="0" w:color="auto"/>
        <w:left w:val="none" w:sz="0" w:space="0" w:color="auto"/>
        <w:bottom w:val="none" w:sz="0" w:space="0" w:color="auto"/>
        <w:right w:val="none" w:sz="0" w:space="0" w:color="auto"/>
      </w:divBdr>
    </w:div>
    <w:div w:id="1760372490">
      <w:bodyDiv w:val="1"/>
      <w:marLeft w:val="0"/>
      <w:marRight w:val="0"/>
      <w:marTop w:val="0"/>
      <w:marBottom w:val="0"/>
      <w:divBdr>
        <w:top w:val="none" w:sz="0" w:space="0" w:color="auto"/>
        <w:left w:val="none" w:sz="0" w:space="0" w:color="auto"/>
        <w:bottom w:val="none" w:sz="0" w:space="0" w:color="auto"/>
        <w:right w:val="none" w:sz="0" w:space="0" w:color="auto"/>
      </w:divBdr>
    </w:div>
    <w:div w:id="1845971716">
      <w:bodyDiv w:val="1"/>
      <w:marLeft w:val="0"/>
      <w:marRight w:val="0"/>
      <w:marTop w:val="0"/>
      <w:marBottom w:val="0"/>
      <w:divBdr>
        <w:top w:val="none" w:sz="0" w:space="0" w:color="auto"/>
        <w:left w:val="none" w:sz="0" w:space="0" w:color="auto"/>
        <w:bottom w:val="none" w:sz="0" w:space="0" w:color="auto"/>
        <w:right w:val="none" w:sz="0" w:space="0" w:color="auto"/>
      </w:divBdr>
    </w:div>
    <w:div w:id="1880437952">
      <w:bodyDiv w:val="1"/>
      <w:marLeft w:val="0"/>
      <w:marRight w:val="0"/>
      <w:marTop w:val="0"/>
      <w:marBottom w:val="0"/>
      <w:divBdr>
        <w:top w:val="none" w:sz="0" w:space="0" w:color="auto"/>
        <w:left w:val="none" w:sz="0" w:space="0" w:color="auto"/>
        <w:bottom w:val="none" w:sz="0" w:space="0" w:color="auto"/>
        <w:right w:val="none" w:sz="0" w:space="0" w:color="auto"/>
      </w:divBdr>
    </w:div>
    <w:div w:id="1880825529">
      <w:bodyDiv w:val="1"/>
      <w:marLeft w:val="0"/>
      <w:marRight w:val="0"/>
      <w:marTop w:val="0"/>
      <w:marBottom w:val="0"/>
      <w:divBdr>
        <w:top w:val="none" w:sz="0" w:space="0" w:color="auto"/>
        <w:left w:val="none" w:sz="0" w:space="0" w:color="auto"/>
        <w:bottom w:val="none" w:sz="0" w:space="0" w:color="auto"/>
        <w:right w:val="none" w:sz="0" w:space="0" w:color="auto"/>
      </w:divBdr>
    </w:div>
    <w:div w:id="1920602392">
      <w:bodyDiv w:val="1"/>
      <w:marLeft w:val="0"/>
      <w:marRight w:val="0"/>
      <w:marTop w:val="0"/>
      <w:marBottom w:val="0"/>
      <w:divBdr>
        <w:top w:val="none" w:sz="0" w:space="0" w:color="auto"/>
        <w:left w:val="none" w:sz="0" w:space="0" w:color="auto"/>
        <w:bottom w:val="none" w:sz="0" w:space="0" w:color="auto"/>
        <w:right w:val="none" w:sz="0" w:space="0" w:color="auto"/>
      </w:divBdr>
    </w:div>
    <w:div w:id="199775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uhovski\Application%20Data\Microsoft\Predlo&#353;ci\Obavijest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A9B65-CFBD-40A4-925E-A46035FA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Obavijesti</Template>
  <TotalTime>1</TotalTime>
  <Pages>4</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Vlada RH</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spuhovski</dc:creator>
  <cp:lastModifiedBy>Željana Zaharija</cp:lastModifiedBy>
  <cp:revision>2</cp:revision>
  <cp:lastPrinted>2018-07-27T10:27:00Z</cp:lastPrinted>
  <dcterms:created xsi:type="dcterms:W3CDTF">2022-12-20T17:35:00Z</dcterms:created>
  <dcterms:modified xsi:type="dcterms:W3CDTF">2022-12-20T17:35:00Z</dcterms:modified>
</cp:coreProperties>
</file>